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878234986"/>
        <w:docPartObj>
          <w:docPartGallery w:val="Cover Pages"/>
          <w:docPartUnique/>
        </w:docPartObj>
      </w:sdtPr>
      <w:sdtEndPr>
        <w:rPr>
          <w:color w:val="000000" w:themeColor="text1"/>
        </w:rPr>
      </w:sdtEndPr>
      <w:sdtContent>
        <w:p w:rsidR="00EE19C0" w:rsidRDefault="00EE19C0" w:rsidP="003524D1">
          <w:pPr>
            <w:jc w:val="both"/>
          </w:pPr>
        </w:p>
        <w:p w:rsidR="00EE19C0" w:rsidRDefault="00501294" w:rsidP="003524D1">
          <w:pPr>
            <w:jc w:val="both"/>
            <w:rPr>
              <w:color w:val="000000" w:themeColor="text1"/>
            </w:rPr>
          </w:pPr>
          <w:r w:rsidRPr="00501294">
            <w:rPr>
              <w:noProof/>
            </w:rPr>
            <w:pict>
              <v:shapetype id="_x0000_t202" coordsize="21600,21600" o:spt="202" path="m,l,21600r21600,l21600,xe">
                <v:stroke joinstyle="miter"/>
                <v:path gradientshapeok="t" o:connecttype="rect"/>
              </v:shapetype>
              <v:shape id="Casella di testo 113" o:spid="_x0000_s1026" type="#_x0000_t202" style="position:absolute;left:0;text-align:left;margin-left:88pt;margin-top:333.35pt;width:459.9pt;height:62.45pt;z-index:25166028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EvigIAAHcFAAAOAAAAZHJzL2Uyb0RvYy54bWysVEtv2zAMvg/YfxB0Xx0362NGnSJL0WFA&#10;0BZrh54VWWqESqImKbGzX19KtpOi26XDLjItfqT4+MiLy85oshU+KLA1LY8mlAjLoVH2qaY/H64/&#10;nVMSIrMN02BFTXci0MvZxw8XravEMaxBN8ITdGJD1bqarmN0VVEEvhaGhSNwwqJSgjcs4q9/KhrP&#10;WvRudHE8mZwWLfjGeeAiBLy96pV0lv1LKXi8lTKISHRNMbaYT5/PVTqL2QWrnjxza8WHMNg/RGGY&#10;svjo3tUVi4xsvPrDlVHcQwAZjziYAqRUXOQcMJty8iab+zVzIueCxQluX6bw/9zym+2dJ6rB3pVT&#10;Siwz2KQFC0JrRhpFoggRSNJhpVoXKjS4d2gSu6/QoVXOOrgl8OeAkOIVpjcIiE6V6aQ36Ys5EzTE&#10;Zuz2DRBdJBwvT84/T86mqOKoO/syLcuT9G5xsHY+xG8CDElCTT02OEfAtssQe+gISY9ZuFZa4z2r&#10;tCVtTU+nJ5NssNegc20TQGS6DG5SGn3kWYo7LXonP4TEcuUE0kUmqlhoT7YMKcY4FzaWQ9DaIjqh&#10;JAbxHsMBf4jqPcZ9HuPLYOPe2CgLvm9Ymq9D2M3zGLLs8UMjQ593KkHsVh3WMYkraHbIAA/9NAXH&#10;rxV2Y8lCvGMexwcbiCsh3uIhNWDVYZAoWYP//bf7hEdWo5aSFsexpuHXhnlBif5uke9pdkfBj8Jq&#10;FOzGLADLX+KycTyLaOCjHkXpwTzippinV1DFLMe3aroaxUXslwJuGi7m8wzCCXUsLu294yPRE7ce&#10;ukfm3UDAiNS9gXFQWfWGhz029dHCfBNBqkzSQxWHQuN0Z5oPmyitj9f/GXXYl7MXAAAA//8DAFBL&#10;AwQUAAYACAAAACEAl8N2QN0AAAAMAQAADwAAAGRycy9kb3ducmV2LnhtbEyPwU6EMBCG7ya+QzMm&#10;3tzCmi2ClM1q9CInVx+g0BGIdEpo2cW3d/akxz/z55/vK/erG8UJ5zB40pBuEhBIrbcDdRo+P17v&#10;HkCEaMia0RNq+MEA++r6qjSF9Wd6x9MxdoJHKBRGQx/jVEgZ2h6dCRs/IfHty8/ORI5zJ+1szjzu&#10;RrlNEiWdGYg/9GbC5x7b7+PiNCyp2eYNPmW0q+u3l8Z19/V80Pr2Zj08goi4xr8yXPAZHSpmavxC&#10;NoiRc6bYJWpQSmUgLo0k37FNoyHLUwWyKuV/ieoXAAD//wMAUEsBAi0AFAAGAAgAAAAhALaDOJL+&#10;AAAA4QEAABMAAAAAAAAAAAAAAAAAAAAAAFtDb250ZW50X1R5cGVzXS54bWxQSwECLQAUAAYACAAA&#10;ACEAOP0h/9YAAACUAQAACwAAAAAAAAAAAAAAAAAvAQAAX3JlbHMvLnJlbHNQSwECLQAUAAYACAAA&#10;ACEAGOSxL4oCAAB3BQAADgAAAAAAAAAAAAAAAAAuAgAAZHJzL2Uyb0RvYy54bWxQSwECLQAUAAYA&#10;CAAAACEAl8N2QN0AAAAMAQAADwAAAAAAAAAAAAAAAADkBAAAZHJzL2Rvd25yZXYueG1sUEsFBgAA&#10;AAAEAAQA8wAAAO4FAAAAAA==&#10;" filled="f" stroked="f" strokeweight=".5pt">
                <v:path arrowok="t"/>
                <v:textbox inset="0,0,0,0">
                  <w:txbxContent>
                    <w:p w:rsidR="0063318A" w:rsidRDefault="00501294" w:rsidP="000B1589">
                      <w:pPr>
                        <w:pStyle w:val="Nessunaspaziatura"/>
                        <w:rPr>
                          <w:caps/>
                          <w:color w:val="1B1D3D" w:themeColor="text2" w:themeShade="BF"/>
                          <w:sz w:val="52"/>
                          <w:szCs w:val="52"/>
                        </w:rPr>
                      </w:pPr>
                      <w:sdt>
                        <w:sdtPr>
                          <w:rPr>
                            <w:rFonts w:ascii="Calibri" w:eastAsia="Calibri" w:hAnsi="Calibri" w:cs="Times New Roman"/>
                            <w:b/>
                            <w:color w:val="00000A"/>
                            <w:lang w:eastAsia="en-US"/>
                          </w:rPr>
                          <w:alias w:val="Titol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FF0630">
                            <w:rPr>
                              <w:rFonts w:ascii="Calibri" w:eastAsia="Calibri" w:hAnsi="Calibri" w:cs="Times New Roman"/>
                              <w:b/>
                              <w:color w:val="00000A"/>
                              <w:lang w:eastAsia="en-US"/>
                            </w:rPr>
                            <w:t xml:space="preserve">Allegato C – Accordo di Finanziamento </w:t>
                          </w:r>
                          <w:r w:rsidR="00FF0630">
                            <w:rPr>
                              <w:rFonts w:ascii="Calibri" w:eastAsia="Calibri" w:hAnsi="Calibri" w:cs="Times New Roman"/>
                              <w:b/>
                              <w:color w:val="00000A"/>
                              <w:lang w:eastAsia="en-US"/>
                            </w:rPr>
                            <w:br/>
                            <w:t>Schema DESCRIZIONE DELLO STRUMENTO “Fondo Garanzia Mutualistica 2021-2027”</w:t>
                          </w:r>
                        </w:sdtContent>
                      </w:sdt>
                    </w:p>
                    <w:sdt>
                      <w:sdtPr>
                        <w:rPr>
                          <w:smallCaps/>
                          <w:color w:val="242852" w:themeColor="text2"/>
                          <w:sz w:val="36"/>
                          <w:szCs w:val="36"/>
                        </w:rPr>
                        <w:alias w:val="Sottotitolo"/>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rsidR="0063318A" w:rsidRDefault="0063318A">
                          <w:pPr>
                            <w:pStyle w:val="Nessunaspaziatura"/>
                            <w:jc w:val="right"/>
                            <w:rPr>
                              <w:smallCaps/>
                              <w:color w:val="242852" w:themeColor="text2"/>
                              <w:sz w:val="36"/>
                              <w:szCs w:val="36"/>
                            </w:rPr>
                          </w:pPr>
                          <w:r>
                            <w:rPr>
                              <w:smallCaps/>
                              <w:color w:val="242852" w:themeColor="text2"/>
                              <w:sz w:val="36"/>
                              <w:szCs w:val="36"/>
                            </w:rPr>
                            <w:t xml:space="preserve">     </w:t>
                          </w:r>
                        </w:p>
                      </w:sdtContent>
                    </w:sdt>
                  </w:txbxContent>
                </v:textbox>
                <w10:wrap type="square" anchorx="page" anchory="page"/>
              </v:shape>
            </w:pict>
          </w:r>
          <w:r w:rsidRPr="00501294">
            <w:rPr>
              <w:noProof/>
            </w:rPr>
            <w:pict>
              <v:group id="Gruppo 114" o:spid="_x0000_s1029" style="position:absolute;left:0;text-align:left;margin-left:0;margin-top:0;width:17.25pt;height:765.4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1aZSQMAAA0LAAAOAAAAZHJzL2Uyb0RvYy54bWzsVt9P2zAQfp+0/8Hy+2hTUVYiwlSxgSah&#10;DQETz8ZxmmiOz7NdUvbX785OApQKTds0adJeItv3w3ff3X3x0btNq9mdcr4BU/Bsb8qZMhLKxqwK&#10;/uX69M2CMx+EKYUGowp+rzx/d/z61VFnczWDGnSpHEMnxuedLXgdgs0nEy9r1Qq/B1YZFFbgWhFw&#10;61aT0okOvbd6MptODyYduNI6kMp7PH2fhPw4+q8qJcPnqvIqMF1wjC3Er4vfW/pOjo9EvnLC1o3s&#10;wxC/EEUrGoOXjq7eiyDY2jXPXLWNdOChCnsS2glUVSNVzAGzyaZb2Zw5WNuYyyrvVnaECaHdwumX&#10;3cpPdxeONSXWLtvnzIgWi3Tm1tYCoxPEp7OrHNXOnL2yFy4lictzkF89iifbctqvHpQ3lWvJCHNl&#10;mwj8/Qi82gQm8XCWLfb3sTwSRYdvZ9P5oq+MrLF8z8xk/WEwnC0OpoNhhj5wQzGJPF0bgxuD6Sw2&#10;mX/A0f8ejle1sCqWxxNAI47zAcdLFbD1V6AJy3nCMqoSkBFZn/se05+C6VG2i7cLxOlptiK3zocz&#10;BS2jRcEd9n9sS3F37kMCZlChmnjQTXnaaB03NHPqRDt2J3BahJTKhFkP5xNNbUjfAFkmp3SCWA/p&#10;xFW414r0tLlUFbYY1TkGE4d7+6IsiWpRqnT/HGs5pDdaxNJGh+S5wvtH372DXUlkfRK9PpmqyA2j&#10;8fSlwFKKo0W8GUwYjdvGgNvlQIfx5qQ/gJSgIZRuobzHxnGQmMlbedpg6c6FDxfCIRVhcyO9hs/4&#10;qTR0BYd+xVkN7vuuc9LHzkYpZx1SW8H9t7VwijP90WDPH9KgIBfGzf4c540z91hy+1hi1u0JYD9k&#10;SORWxiXpBz0sKwftDbLwkm5FkTAS7y64DG7YnIREucjjUi2XUQ35z4pwbq6sJOeEKrXm9eZGONv3&#10;b0CC+ATDnIl8q42TLlkaWK4DVE3s8Qdce7xx5onG/srwH+wc/oOt4aeYfaJQZuCkRpZQS29xXAkL&#10;ajgKF0klUS5tXiSKxWE2R/IjS+ztHeQ4S9SRWnngmoEK/hhbDO3+ny3+s8W/zRbx4YBvrvjD6d+H&#10;9Kh7vI9T+vCKPf4BAAD//wMAUEsDBBQABgAIAAAAIQBhirab2gAAAAUBAAAPAAAAZHJzL2Rvd25y&#10;ZXYueG1sTI/BTsMwEETvSPyDtUjcqENTUAlxKoREbwhIOcDNiZckwl5H8bYNf8/CBS4jrWY087bc&#10;zMGrA05piGTgcpGBQmqjG6gz8Lp7uFiDSmzJWR8JDXxhgk11elLawsUjveCh5k5JCaXCGuiZx0Lr&#10;1PYYbFrEEUm8jzgFy3JOnXaTPUp58HqZZdc62IFkobcj3vfYftb7YID0zm1D/RTecr6pl+/PjX/c&#10;Nsacn813t6AYZ/4Lww++oEMlTE3ck0vKG5BH+FfFy1crUI1krvJsDboq9X/66hsAAP//AwBQSwEC&#10;LQAUAAYACAAAACEAtoM4kv4AAADhAQAAEwAAAAAAAAAAAAAAAAAAAAAAW0NvbnRlbnRfVHlwZXNd&#10;LnhtbFBLAQItABQABgAIAAAAIQA4/SH/1gAAAJQBAAALAAAAAAAAAAAAAAAAAC8BAABfcmVscy8u&#10;cmVsc1BLAQItABQABgAIAAAAIQCE41aZSQMAAA0LAAAOAAAAAAAAAAAAAAAAAC4CAABkcnMvZTJv&#10;RG9jLnhtbFBLAQItABQABgAIAAAAIQBhirab2gAAAAUBAAAPAAAAAAAAAAAAAAAAAKMFAABkcnMv&#10;ZG93bnJldi54bWxQSwUGAAAAAAQABADzAAAAqgYAAAAA&#10;">
                <v:rect id="Rettangolo 115" o:spid="_x0000_s1030" style="position:absolute;width:2286;height:878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6KwQAAANwAAAAPAAAAZHJzL2Rvd25yZXYueG1sRE9Ni8Iw&#10;EL0v+B/CCHtb0yruSjWKiC571RXE29CMbbWZ1CTW7r83grC3ebzPmS06U4uWnK8sK0gHCQji3OqK&#10;CwX7383HBIQPyBpry6Tgjzws5r23GWba3nlL7S4UIoawz1BBGUKTSenzkgz6gW2II3eyzmCI0BVS&#10;O7zHcFPLYZJ8SoMVx4YSG1qVlF92N6Ng65arTp7Xp1HqDl/X9vi9z9ko9d7vllMQgbrwL365f3Sc&#10;n47h+Uy8QM4fAAAA//8DAFBLAQItABQABgAIAAAAIQDb4fbL7gAAAIUBAAATAAAAAAAAAAAAAAAA&#10;AAAAAABbQ29udGVudF9UeXBlc10ueG1sUEsBAi0AFAAGAAgAAAAhAFr0LFu/AAAAFQEAAAsAAAAA&#10;AAAAAAAAAAAAHwEAAF9yZWxzLy5yZWxzUEsBAi0AFAAGAAgAAAAhACJMborBAAAA3AAAAA8AAAAA&#10;AAAAAAAAAAAABwIAAGRycy9kb3ducmV2LnhtbFBLBQYAAAAAAwADALcAAAD1AgAAAAA=&#10;" fillcolor="#629dd1 [3205]" stroked="f" strokeweight="1.25pt"/>
                <v:rect id="Rettangolo 116" o:spid="_x0000_s1028" style="position:absolute;top:89154;width:2286;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yWwwAAANwAAAAPAAAAZHJzL2Rvd25yZXYueG1sRE/fS8Mw&#10;EH4X/B/CCb65tDKG1GWjCEK3B5mrvp/Nrakml9pka91fbwRhb/fx/bzlenJWnGgInWcF+SwDQdx4&#10;3XGr4K1+vnsAESKyRuuZFPxQgPXq+mqJhfYjv9JpH1uRQjgUqMDE2BdShsaQwzDzPXHiDn5wGBMc&#10;WqkHHFO4s/I+yxbSYcepwWBPT4aar/3RKdjZ9035UeVmV8/tYfv5XY/nl7NStzdT+Qgi0hQv4n93&#10;pdP8fAF/z6QL5OoXAAD//wMAUEsBAi0AFAAGAAgAAAAhANvh9svuAAAAhQEAABMAAAAAAAAAAAAA&#10;AAAAAAAAAFtDb250ZW50X1R5cGVzXS54bWxQSwECLQAUAAYACAAAACEAWvQsW78AAAAVAQAACwAA&#10;AAAAAAAAAAAAAAAfAQAAX3JlbHMvLnJlbHNQSwECLQAUAAYACAAAACEAAom8lsMAAADcAAAADwAA&#10;AAAAAAAAAAAAAAAHAgAAZHJzL2Rvd25yZXYueG1sUEsFBgAAAAADAAMAtwAAAPcCAAAAAA==&#10;" fillcolor="#4a66ac [3204]" stroked="f" strokeweight="1.25pt">
                  <v:path arrowok="t"/>
                  <o:lock v:ext="edit" aspectratio="t"/>
                </v:rect>
                <w10:wrap anchorx="page" anchory="page"/>
              </v:group>
            </w:pict>
          </w:r>
          <w:r w:rsidR="00EE19C0">
            <w:rPr>
              <w:color w:val="000000" w:themeColor="text1"/>
            </w:rPr>
            <w:br w:type="page"/>
          </w:r>
        </w:p>
      </w:sdtContent>
    </w:sdt>
    <w:p w:rsidR="00FD7325" w:rsidRDefault="00FD7325" w:rsidP="003524D1">
      <w:pPr>
        <w:spacing w:after="82"/>
        <w:ind w:left="283"/>
        <w:jc w:val="both"/>
      </w:pPr>
    </w:p>
    <w:sdt>
      <w:sdtPr>
        <w:rPr>
          <w:rFonts w:asciiTheme="minorHAnsi" w:eastAsiaTheme="minorEastAsia" w:hAnsiTheme="minorHAnsi" w:cstheme="minorBidi"/>
          <w:color w:val="auto"/>
          <w:sz w:val="22"/>
          <w:szCs w:val="22"/>
        </w:rPr>
        <w:id w:val="377127824"/>
        <w:docPartObj>
          <w:docPartGallery w:val="Table of Contents"/>
          <w:docPartUnique/>
        </w:docPartObj>
      </w:sdtPr>
      <w:sdtEndPr>
        <w:rPr>
          <w:b/>
          <w:bCs/>
        </w:rPr>
      </w:sdtEndPr>
      <w:sdtContent>
        <w:p w:rsidR="009F2CD3" w:rsidRDefault="009F2CD3">
          <w:pPr>
            <w:pStyle w:val="Titolosommario"/>
          </w:pPr>
          <w:r>
            <w:t>Sommario</w:t>
          </w:r>
        </w:p>
        <w:p w:rsidR="00FF0630" w:rsidRDefault="00501294">
          <w:pPr>
            <w:pStyle w:val="Sommario2"/>
            <w:rPr>
              <w:noProof/>
            </w:rPr>
          </w:pPr>
          <w:r w:rsidRPr="00501294">
            <w:fldChar w:fldCharType="begin"/>
          </w:r>
          <w:r w:rsidR="009F2CD3">
            <w:instrText xml:space="preserve"> TOC \o "1-3" \h \z \u </w:instrText>
          </w:r>
          <w:r w:rsidRPr="00501294">
            <w:fldChar w:fldCharType="separate"/>
          </w:r>
          <w:hyperlink w:anchor="_Toc156824441" w:history="1">
            <w:r w:rsidR="00FF0630" w:rsidRPr="00747D11">
              <w:rPr>
                <w:rStyle w:val="Collegamentoipertestuale"/>
                <w:noProof/>
              </w:rPr>
              <w:t>I Caratteristiche dello strumento</w:t>
            </w:r>
            <w:r w:rsidR="00FF0630">
              <w:rPr>
                <w:noProof/>
                <w:webHidden/>
              </w:rPr>
              <w:tab/>
            </w:r>
            <w:r w:rsidR="00FF0630">
              <w:rPr>
                <w:noProof/>
                <w:webHidden/>
              </w:rPr>
              <w:fldChar w:fldCharType="begin"/>
            </w:r>
            <w:r w:rsidR="00FF0630">
              <w:rPr>
                <w:noProof/>
                <w:webHidden/>
              </w:rPr>
              <w:instrText xml:space="preserve"> PAGEREF _Toc156824441 \h </w:instrText>
            </w:r>
            <w:r w:rsidR="00FF0630">
              <w:rPr>
                <w:noProof/>
                <w:webHidden/>
              </w:rPr>
            </w:r>
            <w:r w:rsidR="00FF0630">
              <w:rPr>
                <w:noProof/>
                <w:webHidden/>
              </w:rPr>
              <w:fldChar w:fldCharType="separate"/>
            </w:r>
            <w:r w:rsidR="00FF0630">
              <w:rPr>
                <w:noProof/>
                <w:webHidden/>
              </w:rPr>
              <w:t>2</w:t>
            </w:r>
            <w:r w:rsidR="00FF0630">
              <w:rPr>
                <w:noProof/>
                <w:webHidden/>
              </w:rPr>
              <w:fldChar w:fldCharType="end"/>
            </w:r>
          </w:hyperlink>
        </w:p>
        <w:p w:rsidR="00FF0630" w:rsidRDefault="00FF0630">
          <w:pPr>
            <w:pStyle w:val="Sommario2"/>
            <w:rPr>
              <w:noProof/>
            </w:rPr>
          </w:pPr>
          <w:hyperlink w:anchor="_Toc156824442" w:history="1">
            <w:r w:rsidRPr="00747D11">
              <w:rPr>
                <w:rStyle w:val="Collegamentoipertestuale"/>
                <w:noProof/>
              </w:rPr>
              <w:t>II Requisiti per l’accesso alla garanzia</w:t>
            </w:r>
            <w:r>
              <w:rPr>
                <w:noProof/>
                <w:webHidden/>
              </w:rPr>
              <w:tab/>
            </w:r>
            <w:r>
              <w:rPr>
                <w:noProof/>
                <w:webHidden/>
              </w:rPr>
              <w:fldChar w:fldCharType="begin"/>
            </w:r>
            <w:r>
              <w:rPr>
                <w:noProof/>
                <w:webHidden/>
              </w:rPr>
              <w:instrText xml:space="preserve"> PAGEREF _Toc156824442 \h </w:instrText>
            </w:r>
            <w:r>
              <w:rPr>
                <w:noProof/>
                <w:webHidden/>
              </w:rPr>
            </w:r>
            <w:r>
              <w:rPr>
                <w:noProof/>
                <w:webHidden/>
              </w:rPr>
              <w:fldChar w:fldCharType="separate"/>
            </w:r>
            <w:r>
              <w:rPr>
                <w:noProof/>
                <w:webHidden/>
              </w:rPr>
              <w:t>2</w:t>
            </w:r>
            <w:r>
              <w:rPr>
                <w:noProof/>
                <w:webHidden/>
              </w:rPr>
              <w:fldChar w:fldCharType="end"/>
            </w:r>
          </w:hyperlink>
        </w:p>
        <w:p w:rsidR="00FF0630" w:rsidRDefault="00FF0630">
          <w:pPr>
            <w:pStyle w:val="Sommario2"/>
            <w:rPr>
              <w:noProof/>
            </w:rPr>
          </w:pPr>
          <w:hyperlink w:anchor="_Toc156824443" w:history="1">
            <w:r w:rsidRPr="00747D11">
              <w:rPr>
                <w:rStyle w:val="Collegamentoipertestuale"/>
                <w:noProof/>
              </w:rPr>
              <w:t>III Settori ammissibili e attività escluse</w:t>
            </w:r>
            <w:r>
              <w:rPr>
                <w:noProof/>
                <w:webHidden/>
              </w:rPr>
              <w:tab/>
            </w:r>
            <w:r>
              <w:rPr>
                <w:noProof/>
                <w:webHidden/>
              </w:rPr>
              <w:fldChar w:fldCharType="begin"/>
            </w:r>
            <w:r>
              <w:rPr>
                <w:noProof/>
                <w:webHidden/>
              </w:rPr>
              <w:instrText xml:space="preserve"> PAGEREF _Toc156824443 \h </w:instrText>
            </w:r>
            <w:r>
              <w:rPr>
                <w:noProof/>
                <w:webHidden/>
              </w:rPr>
            </w:r>
            <w:r>
              <w:rPr>
                <w:noProof/>
                <w:webHidden/>
              </w:rPr>
              <w:fldChar w:fldCharType="separate"/>
            </w:r>
            <w:r>
              <w:rPr>
                <w:noProof/>
                <w:webHidden/>
              </w:rPr>
              <w:t>3</w:t>
            </w:r>
            <w:r>
              <w:rPr>
                <w:noProof/>
                <w:webHidden/>
              </w:rPr>
              <w:fldChar w:fldCharType="end"/>
            </w:r>
          </w:hyperlink>
        </w:p>
        <w:p w:rsidR="00FF0630" w:rsidRDefault="00FF0630">
          <w:pPr>
            <w:pStyle w:val="Sommario2"/>
            <w:rPr>
              <w:noProof/>
            </w:rPr>
          </w:pPr>
          <w:hyperlink w:anchor="_Toc156824444" w:history="1">
            <w:r w:rsidRPr="00747D11">
              <w:rPr>
                <w:rStyle w:val="Collegamentoipertestuale"/>
                <w:noProof/>
              </w:rPr>
              <w:t>IV Tipologia ed entità delle agevolazioni</w:t>
            </w:r>
            <w:r>
              <w:rPr>
                <w:noProof/>
                <w:webHidden/>
              </w:rPr>
              <w:tab/>
            </w:r>
            <w:r>
              <w:rPr>
                <w:noProof/>
                <w:webHidden/>
              </w:rPr>
              <w:fldChar w:fldCharType="begin"/>
            </w:r>
            <w:r>
              <w:rPr>
                <w:noProof/>
                <w:webHidden/>
              </w:rPr>
              <w:instrText xml:space="preserve"> PAGEREF _Toc156824444 \h </w:instrText>
            </w:r>
            <w:r>
              <w:rPr>
                <w:noProof/>
                <w:webHidden/>
              </w:rPr>
            </w:r>
            <w:r>
              <w:rPr>
                <w:noProof/>
                <w:webHidden/>
              </w:rPr>
              <w:fldChar w:fldCharType="separate"/>
            </w:r>
            <w:r>
              <w:rPr>
                <w:noProof/>
                <w:webHidden/>
              </w:rPr>
              <w:t>4</w:t>
            </w:r>
            <w:r>
              <w:rPr>
                <w:noProof/>
                <w:webHidden/>
              </w:rPr>
              <w:fldChar w:fldCharType="end"/>
            </w:r>
          </w:hyperlink>
        </w:p>
        <w:p w:rsidR="00FF0630" w:rsidRDefault="00FF0630">
          <w:pPr>
            <w:pStyle w:val="Sommario2"/>
            <w:rPr>
              <w:noProof/>
            </w:rPr>
          </w:pPr>
          <w:hyperlink w:anchor="_Toc156824445" w:history="1">
            <w:r w:rsidRPr="00747D11">
              <w:rPr>
                <w:rStyle w:val="Collegamentoipertestuale"/>
                <w:noProof/>
              </w:rPr>
              <w:t>V. Novità dell’iniziativa</w:t>
            </w:r>
            <w:r>
              <w:rPr>
                <w:noProof/>
                <w:webHidden/>
              </w:rPr>
              <w:tab/>
            </w:r>
            <w:r>
              <w:rPr>
                <w:noProof/>
                <w:webHidden/>
              </w:rPr>
              <w:fldChar w:fldCharType="begin"/>
            </w:r>
            <w:r>
              <w:rPr>
                <w:noProof/>
                <w:webHidden/>
              </w:rPr>
              <w:instrText xml:space="preserve"> PAGEREF _Toc156824445 \h </w:instrText>
            </w:r>
            <w:r>
              <w:rPr>
                <w:noProof/>
                <w:webHidden/>
              </w:rPr>
            </w:r>
            <w:r>
              <w:rPr>
                <w:noProof/>
                <w:webHidden/>
              </w:rPr>
              <w:fldChar w:fldCharType="separate"/>
            </w:r>
            <w:r>
              <w:rPr>
                <w:noProof/>
                <w:webHidden/>
              </w:rPr>
              <w:t>5</w:t>
            </w:r>
            <w:r>
              <w:rPr>
                <w:noProof/>
                <w:webHidden/>
              </w:rPr>
              <w:fldChar w:fldCharType="end"/>
            </w:r>
          </w:hyperlink>
        </w:p>
        <w:p w:rsidR="00FF0630" w:rsidRDefault="00FF0630">
          <w:pPr>
            <w:pStyle w:val="Sommario2"/>
            <w:rPr>
              <w:noProof/>
            </w:rPr>
          </w:pPr>
          <w:hyperlink w:anchor="_Toc156824446" w:history="1">
            <w:r w:rsidRPr="00747D11">
              <w:rPr>
                <w:rStyle w:val="Collegamentoipertestuale"/>
                <w:noProof/>
              </w:rPr>
              <w:t>VI. Spese ammissibili</w:t>
            </w:r>
            <w:r>
              <w:rPr>
                <w:noProof/>
                <w:webHidden/>
              </w:rPr>
              <w:tab/>
            </w:r>
            <w:r>
              <w:rPr>
                <w:noProof/>
                <w:webHidden/>
              </w:rPr>
              <w:fldChar w:fldCharType="begin"/>
            </w:r>
            <w:r>
              <w:rPr>
                <w:noProof/>
                <w:webHidden/>
              </w:rPr>
              <w:instrText xml:space="preserve"> PAGEREF _Toc156824446 \h </w:instrText>
            </w:r>
            <w:r>
              <w:rPr>
                <w:noProof/>
                <w:webHidden/>
              </w:rPr>
            </w:r>
            <w:r>
              <w:rPr>
                <w:noProof/>
                <w:webHidden/>
              </w:rPr>
              <w:fldChar w:fldCharType="separate"/>
            </w:r>
            <w:r>
              <w:rPr>
                <w:noProof/>
                <w:webHidden/>
              </w:rPr>
              <w:t>5</w:t>
            </w:r>
            <w:r>
              <w:rPr>
                <w:noProof/>
                <w:webHidden/>
              </w:rPr>
              <w:fldChar w:fldCharType="end"/>
            </w:r>
          </w:hyperlink>
        </w:p>
        <w:p w:rsidR="00FF0630" w:rsidRDefault="00FF0630">
          <w:pPr>
            <w:pStyle w:val="Sommario2"/>
            <w:rPr>
              <w:noProof/>
            </w:rPr>
          </w:pPr>
          <w:hyperlink w:anchor="_Toc156824447" w:history="1">
            <w:r w:rsidRPr="00747D11">
              <w:rPr>
                <w:rStyle w:val="Collegamentoipertestuale"/>
                <w:noProof/>
              </w:rPr>
              <w:t>VII. Modalità di accesso alla garanzia</w:t>
            </w:r>
            <w:r>
              <w:rPr>
                <w:noProof/>
                <w:webHidden/>
              </w:rPr>
              <w:tab/>
            </w:r>
            <w:r>
              <w:rPr>
                <w:noProof/>
                <w:webHidden/>
              </w:rPr>
              <w:fldChar w:fldCharType="begin"/>
            </w:r>
            <w:r>
              <w:rPr>
                <w:noProof/>
                <w:webHidden/>
              </w:rPr>
              <w:instrText xml:space="preserve"> PAGEREF _Toc156824447 \h </w:instrText>
            </w:r>
            <w:r>
              <w:rPr>
                <w:noProof/>
                <w:webHidden/>
              </w:rPr>
            </w:r>
            <w:r>
              <w:rPr>
                <w:noProof/>
                <w:webHidden/>
              </w:rPr>
              <w:fldChar w:fldCharType="separate"/>
            </w:r>
            <w:r>
              <w:rPr>
                <w:noProof/>
                <w:webHidden/>
              </w:rPr>
              <w:t>5</w:t>
            </w:r>
            <w:r>
              <w:rPr>
                <w:noProof/>
                <w:webHidden/>
              </w:rPr>
              <w:fldChar w:fldCharType="end"/>
            </w:r>
          </w:hyperlink>
        </w:p>
        <w:p w:rsidR="00FF0630" w:rsidRDefault="00FF0630">
          <w:pPr>
            <w:pStyle w:val="Sommario2"/>
            <w:rPr>
              <w:noProof/>
            </w:rPr>
          </w:pPr>
          <w:hyperlink w:anchor="_Toc156824448" w:history="1">
            <w:r w:rsidRPr="00747D11">
              <w:rPr>
                <w:rStyle w:val="Collegamentoipertestuale"/>
                <w:noProof/>
              </w:rPr>
              <w:t>VIII. Valutazione delle domande</w:t>
            </w:r>
            <w:r>
              <w:rPr>
                <w:noProof/>
                <w:webHidden/>
              </w:rPr>
              <w:tab/>
            </w:r>
            <w:r>
              <w:rPr>
                <w:noProof/>
                <w:webHidden/>
              </w:rPr>
              <w:fldChar w:fldCharType="begin"/>
            </w:r>
            <w:r>
              <w:rPr>
                <w:noProof/>
                <w:webHidden/>
              </w:rPr>
              <w:instrText xml:space="preserve"> PAGEREF _Toc156824448 \h </w:instrText>
            </w:r>
            <w:r>
              <w:rPr>
                <w:noProof/>
                <w:webHidden/>
              </w:rPr>
            </w:r>
            <w:r>
              <w:rPr>
                <w:noProof/>
                <w:webHidden/>
              </w:rPr>
              <w:fldChar w:fldCharType="separate"/>
            </w:r>
            <w:r>
              <w:rPr>
                <w:noProof/>
                <w:webHidden/>
              </w:rPr>
              <w:t>6</w:t>
            </w:r>
            <w:r>
              <w:rPr>
                <w:noProof/>
                <w:webHidden/>
              </w:rPr>
              <w:fldChar w:fldCharType="end"/>
            </w:r>
          </w:hyperlink>
        </w:p>
        <w:p w:rsidR="00FF0630" w:rsidRDefault="00FF0630">
          <w:pPr>
            <w:pStyle w:val="Sommario2"/>
            <w:rPr>
              <w:noProof/>
            </w:rPr>
          </w:pPr>
          <w:hyperlink w:anchor="_Toc156824449" w:history="1">
            <w:r w:rsidRPr="00747D11">
              <w:rPr>
                <w:rStyle w:val="Collegamentoipertestuale"/>
                <w:noProof/>
              </w:rPr>
              <w:t>IX. Verifiche, controllo e monitoraggio</w:t>
            </w:r>
            <w:r>
              <w:rPr>
                <w:noProof/>
                <w:webHidden/>
              </w:rPr>
              <w:tab/>
            </w:r>
            <w:r>
              <w:rPr>
                <w:noProof/>
                <w:webHidden/>
              </w:rPr>
              <w:fldChar w:fldCharType="begin"/>
            </w:r>
            <w:r>
              <w:rPr>
                <w:noProof/>
                <w:webHidden/>
              </w:rPr>
              <w:instrText xml:space="preserve"> PAGEREF _Toc156824449 \h </w:instrText>
            </w:r>
            <w:r>
              <w:rPr>
                <w:noProof/>
                <w:webHidden/>
              </w:rPr>
            </w:r>
            <w:r>
              <w:rPr>
                <w:noProof/>
                <w:webHidden/>
              </w:rPr>
              <w:fldChar w:fldCharType="separate"/>
            </w:r>
            <w:r>
              <w:rPr>
                <w:noProof/>
                <w:webHidden/>
              </w:rPr>
              <w:t>7</w:t>
            </w:r>
            <w:r>
              <w:rPr>
                <w:noProof/>
                <w:webHidden/>
              </w:rPr>
              <w:fldChar w:fldCharType="end"/>
            </w:r>
          </w:hyperlink>
        </w:p>
        <w:p w:rsidR="00FF0630" w:rsidRDefault="00FF0630">
          <w:pPr>
            <w:pStyle w:val="Sommario2"/>
            <w:rPr>
              <w:noProof/>
            </w:rPr>
          </w:pPr>
          <w:hyperlink w:anchor="_Toc156824450" w:history="1">
            <w:r w:rsidRPr="00747D11">
              <w:rPr>
                <w:rStyle w:val="Collegamentoipertestuale"/>
                <w:noProof/>
              </w:rPr>
              <w:t>X. Cessazione e revoca</w:t>
            </w:r>
            <w:r>
              <w:rPr>
                <w:noProof/>
                <w:webHidden/>
              </w:rPr>
              <w:tab/>
            </w:r>
            <w:r>
              <w:rPr>
                <w:noProof/>
                <w:webHidden/>
              </w:rPr>
              <w:fldChar w:fldCharType="begin"/>
            </w:r>
            <w:r>
              <w:rPr>
                <w:noProof/>
                <w:webHidden/>
              </w:rPr>
              <w:instrText xml:space="preserve"> PAGEREF _Toc156824450 \h </w:instrText>
            </w:r>
            <w:r>
              <w:rPr>
                <w:noProof/>
                <w:webHidden/>
              </w:rPr>
            </w:r>
            <w:r>
              <w:rPr>
                <w:noProof/>
                <w:webHidden/>
              </w:rPr>
              <w:fldChar w:fldCharType="separate"/>
            </w:r>
            <w:r>
              <w:rPr>
                <w:noProof/>
                <w:webHidden/>
              </w:rPr>
              <w:t>7</w:t>
            </w:r>
            <w:r>
              <w:rPr>
                <w:noProof/>
                <w:webHidden/>
              </w:rPr>
              <w:fldChar w:fldCharType="end"/>
            </w:r>
          </w:hyperlink>
        </w:p>
        <w:p w:rsidR="009F2CD3" w:rsidRDefault="00501294">
          <w:r>
            <w:rPr>
              <w:b/>
              <w:bCs/>
            </w:rPr>
            <w:fldChar w:fldCharType="end"/>
          </w:r>
        </w:p>
      </w:sdtContent>
    </w:sdt>
    <w:p w:rsidR="006262D5" w:rsidRDefault="006262D5">
      <w:r>
        <w:br w:type="page"/>
      </w:r>
    </w:p>
    <w:p w:rsidR="00FD7325" w:rsidRDefault="00FD7325" w:rsidP="003524D1">
      <w:pPr>
        <w:jc w:val="both"/>
      </w:pPr>
    </w:p>
    <w:p w:rsidR="003524D1" w:rsidRDefault="003524D1" w:rsidP="00FB5FF2">
      <w:pPr>
        <w:pStyle w:val="Titolo2"/>
        <w:spacing w:line="360" w:lineRule="auto"/>
        <w:ind w:left="278"/>
        <w:jc w:val="both"/>
      </w:pPr>
      <w:bookmarkStart w:id="0" w:name="_Toc156824441"/>
      <w:r>
        <w:t xml:space="preserve">I </w:t>
      </w:r>
      <w:r w:rsidR="0056311C" w:rsidRPr="0056311C">
        <w:t>Caratteristiche dello strumento</w:t>
      </w:r>
      <w:bookmarkEnd w:id="0"/>
    </w:p>
    <w:p w:rsidR="0056311C" w:rsidRDefault="0056311C" w:rsidP="005E5CDC">
      <w:pPr>
        <w:ind w:left="284"/>
        <w:jc w:val="both"/>
      </w:pPr>
      <w:r>
        <w:t xml:space="preserve">Lo strumento finanziario Fondo Garanzia Mutualistica 2021/2027 è lo strumento con cui la Regione Puglia offre la possibilità alle PMI di dotarsi di idonee garanzie per l’accesso al credito bancario. </w:t>
      </w:r>
    </w:p>
    <w:p w:rsidR="0056311C" w:rsidRDefault="0056311C" w:rsidP="005E5CDC">
      <w:pPr>
        <w:ind w:left="284"/>
        <w:jc w:val="both"/>
      </w:pPr>
      <w:r>
        <w:t>Gli obiettivi sono quelli di:</w:t>
      </w:r>
    </w:p>
    <w:p w:rsidR="0056311C" w:rsidRDefault="0056311C" w:rsidP="005E5CDC">
      <w:pPr>
        <w:ind w:left="284"/>
        <w:jc w:val="both"/>
      </w:pPr>
      <w:r>
        <w:t xml:space="preserve">-  promuovere lo sviluppo delle PMI, </w:t>
      </w:r>
      <w:r w:rsidRPr="00511F37">
        <w:t>anche nei processi di internazionalizzazione</w:t>
      </w:r>
      <w:r>
        <w:t>, favorendo l’accesso al credito mediante la fruizione di garanzie mutualistiche;</w:t>
      </w:r>
    </w:p>
    <w:p w:rsidR="0056311C" w:rsidRDefault="0056311C" w:rsidP="005E5CDC">
      <w:pPr>
        <w:ind w:left="284"/>
        <w:jc w:val="both"/>
      </w:pPr>
      <w:r>
        <w:t>- concorrere al perseguimento degli obiettivi di politica industriale regionale per il medio – lungo periodo;</w:t>
      </w:r>
    </w:p>
    <w:p w:rsidR="0056311C" w:rsidRDefault="0056311C" w:rsidP="005E5CDC">
      <w:pPr>
        <w:ind w:left="284"/>
        <w:jc w:val="both"/>
      </w:pPr>
      <w:r>
        <w:t>- assicurare nel breve – medio periodo adeguate risorse per sostenere la crescita in atto  del sistema produttivo regionale anche attraverso la rete dei Confidi presenti nella regione.</w:t>
      </w:r>
    </w:p>
    <w:p w:rsidR="0056311C" w:rsidRDefault="0056311C" w:rsidP="005E5CDC">
      <w:pPr>
        <w:ind w:left="284"/>
        <w:jc w:val="both"/>
      </w:pPr>
      <w:r>
        <w:t xml:space="preserve">- </w:t>
      </w:r>
      <w:r w:rsidRPr="009A4F6D">
        <w:t>potenziare il sistema delle garanzie pubbliche anche in relazione ai Confidi per l’espansione del credito valorizzando le esperienze positive già condotte nelle programmazioni 2007-2013 e 2014-2020 attraverso interventi in garanzia e finanziamenti diretti per operazioni di garanzia a prima richiesta e Tranched Cover</w:t>
      </w:r>
    </w:p>
    <w:p w:rsidR="0056311C" w:rsidRPr="0056311C" w:rsidRDefault="0056311C" w:rsidP="005E5CDC">
      <w:pPr>
        <w:ind w:left="284"/>
        <w:jc w:val="both"/>
      </w:pPr>
      <w:r>
        <w:t>La dotazione della misura è di 30.000.000 di euro.</w:t>
      </w:r>
    </w:p>
    <w:p w:rsidR="00FD7325" w:rsidRDefault="006C3934" w:rsidP="005E5CDC">
      <w:pPr>
        <w:pStyle w:val="Titolo2"/>
        <w:spacing w:line="360" w:lineRule="auto"/>
        <w:ind w:left="278"/>
        <w:jc w:val="both"/>
      </w:pPr>
      <w:bookmarkStart w:id="1" w:name="_Toc156824442"/>
      <w:r w:rsidRPr="000D48DF">
        <w:t xml:space="preserve">II </w:t>
      </w:r>
      <w:r w:rsidR="0056311C" w:rsidRPr="0056311C">
        <w:t>Requisiti per l’accesso alla garanzia</w:t>
      </w:r>
      <w:bookmarkEnd w:id="1"/>
    </w:p>
    <w:p w:rsidR="00521ED7" w:rsidRDefault="009E4000" w:rsidP="005E5CDC">
      <w:pPr>
        <w:ind w:left="278"/>
        <w:jc w:val="both"/>
      </w:pPr>
      <w:r w:rsidRPr="009E4000">
        <w:t xml:space="preserve">I destinatari degli aiuti sono le microimprese e le imprese di piccola e media dimensione (di seguito denominate PMI) così come definite dalla raccomandazione della Commissione Europea 2003/361/CE del 06 maggio 2003. Nella definizione di PMI, inoltre, sono da intendersi ricompresi i liberi professionisti in quanto equiparati alle piccole e medie imprese come esercenti attività economica, secondo l’art.12 della legge n. 81 del 22 </w:t>
      </w:r>
      <w:r w:rsidR="00521ED7">
        <w:t xml:space="preserve">maggio 2017.  </w:t>
      </w:r>
      <w:r w:rsidR="00521ED7" w:rsidRPr="00521ED7">
        <w:t xml:space="preserve">I Destinatari degli aiuti in forma di garanzia alla data di presentazione della domanda di agevolazione devono essere in possesso dei </w:t>
      </w:r>
      <w:r w:rsidR="00521ED7">
        <w:t xml:space="preserve">seguenti </w:t>
      </w:r>
      <w:r w:rsidR="00521ED7" w:rsidRPr="00521ED7">
        <w:t>requisiti</w:t>
      </w:r>
      <w:r w:rsidR="00521ED7">
        <w:t>:</w:t>
      </w:r>
    </w:p>
    <w:p w:rsidR="00521ED7" w:rsidRPr="005742EC" w:rsidRDefault="00521ED7" w:rsidP="005E5CDC">
      <w:pPr>
        <w:pStyle w:val="Paragrafoelenco"/>
        <w:numPr>
          <w:ilvl w:val="0"/>
          <w:numId w:val="20"/>
        </w:numPr>
        <w:jc w:val="both"/>
      </w:pPr>
      <w:r w:rsidRPr="005742EC">
        <w:t>essere regolarmente costituiti ed iscritti nel Registro delle imprese e se professionisti essere abilitati ed iscritti agli albi se previsto dalla rispettiva norma professionale;</w:t>
      </w:r>
    </w:p>
    <w:p w:rsidR="00521ED7" w:rsidRPr="005742EC" w:rsidRDefault="00521ED7" w:rsidP="005E5CDC">
      <w:pPr>
        <w:pStyle w:val="Paragrafoelenco"/>
        <w:numPr>
          <w:ilvl w:val="0"/>
          <w:numId w:val="20"/>
        </w:numPr>
        <w:jc w:val="both"/>
      </w:pPr>
      <w:r w:rsidRPr="005742EC">
        <w:t>essere nel pieno e libero esercizio dei propri diritti e non trovarsi in stato di liquidazione giudiziale, concordato preventivo (ad eccezione del concordato preventivo con continuità aziendale in forma diretta o indiretta, per il quale sia già stato adottato il decreto di omologazione previsto dall’art. 112 e ss. del Codice della crisi d'impresa e dell'insolvenza), ed ogni altra procedura concorsuale previsto dal Decreto legislativo 14/2019, così come modificato ai sensi del D.lgs. 83/2022, né avere in corso un procedimento per la dichiarazione di una di tali situazioni nei propri confronti;</w:t>
      </w:r>
    </w:p>
    <w:p w:rsidR="00521ED7" w:rsidRPr="005742EC" w:rsidRDefault="00521ED7" w:rsidP="005E5CDC">
      <w:pPr>
        <w:pStyle w:val="Paragrafoelenco"/>
        <w:numPr>
          <w:ilvl w:val="0"/>
          <w:numId w:val="20"/>
        </w:numPr>
        <w:jc w:val="both"/>
      </w:pPr>
      <w:r w:rsidRPr="005742EC">
        <w:t>non rientrare tra coloro che hanno ricevuto e, successivamente, non rimborsato o depositato in un conto bloccato, gli aiuti individuati quali illegali o incompatibili dalla Commissione Europea;</w:t>
      </w:r>
    </w:p>
    <w:p w:rsidR="00521ED7" w:rsidRPr="005742EC" w:rsidRDefault="00521ED7" w:rsidP="005E5CDC">
      <w:pPr>
        <w:pStyle w:val="Paragrafoelenco"/>
        <w:numPr>
          <w:ilvl w:val="0"/>
          <w:numId w:val="20"/>
        </w:numPr>
        <w:jc w:val="both"/>
      </w:pPr>
      <w:r w:rsidRPr="005742EC">
        <w:t xml:space="preserve">operare nel rispetto delle vigenti norme edilizie ed urbanistiche, del lavoro, con particolare riferimento agli obblighi contributivi, ai CCNL di riferimento e agli accordi integrativi di categoria, sulla prevenzione degli infortuni e sulla salvaguardia dell'ambiente; </w:t>
      </w:r>
    </w:p>
    <w:p w:rsidR="00521ED7" w:rsidRPr="005742EC" w:rsidRDefault="00521ED7" w:rsidP="005E5CDC">
      <w:pPr>
        <w:pStyle w:val="Paragrafoelenco"/>
        <w:numPr>
          <w:ilvl w:val="0"/>
          <w:numId w:val="20"/>
        </w:numPr>
        <w:jc w:val="both"/>
      </w:pPr>
      <w:r w:rsidRPr="005742EC">
        <w:t>operare nel rispetto della clausola sociale come disciplinata dal Regolamento Regionale del 27 novembre 2009, n. 31 “L.R. n. 28/2006 - Disciplina in materia di contrasto al lavoro non regolare” pubblicato sul BURP n.</w:t>
      </w:r>
      <w:r>
        <w:t xml:space="preserve"> </w:t>
      </w:r>
      <w:r w:rsidRPr="005742EC">
        <w:t xml:space="preserve">191 del 30/11/2009; </w:t>
      </w:r>
    </w:p>
    <w:p w:rsidR="00521ED7" w:rsidRDefault="00521ED7" w:rsidP="005E5CDC">
      <w:pPr>
        <w:pStyle w:val="Paragrafoelenco"/>
        <w:numPr>
          <w:ilvl w:val="0"/>
          <w:numId w:val="20"/>
        </w:numPr>
        <w:jc w:val="both"/>
      </w:pPr>
      <w:r w:rsidRPr="005742EC">
        <w:t>non essere stato destinatario, nei tre anni precedenti alla data di presentazione della domanda di agevolazione, di provvedimenti di revoca di agevolazioni pubbliche ad eccezione di quelli derivanti da rinunce da parte delle imprese;</w:t>
      </w:r>
    </w:p>
    <w:p w:rsidR="00521ED7" w:rsidRPr="005742EC" w:rsidRDefault="00521ED7" w:rsidP="005E5CDC">
      <w:pPr>
        <w:pStyle w:val="Paragrafoelenco"/>
        <w:numPr>
          <w:ilvl w:val="0"/>
          <w:numId w:val="20"/>
        </w:numPr>
        <w:jc w:val="both"/>
      </w:pPr>
      <w:r w:rsidRPr="005742EC">
        <w:lastRenderedPageBreak/>
        <w:t>non dover restituire oppure aver restituito agevolazioni erogate per le quali è stata disposta dall’Organismo competente la restituzione;</w:t>
      </w:r>
    </w:p>
    <w:p w:rsidR="00521ED7" w:rsidRPr="005742EC" w:rsidRDefault="00521ED7" w:rsidP="005E5CDC">
      <w:pPr>
        <w:pStyle w:val="Paragrafoelenco"/>
        <w:numPr>
          <w:ilvl w:val="0"/>
          <w:numId w:val="20"/>
        </w:numPr>
        <w:jc w:val="both"/>
      </w:pPr>
      <w:r w:rsidRPr="005742EC">
        <w:t xml:space="preserve">non trovarsi in condizioni tali da risultare un’impresa in difficoltà così come definita dall’art. 2 del Regolamento (UE) n. 651/2014 della Commissione del 17 giugno 2014 e dagli Orientamenti comunitari sugli aiuti di Stato per il salvataggio e la ristrutturazione delle imprese in difficoltà; </w:t>
      </w:r>
    </w:p>
    <w:p w:rsidR="00521ED7" w:rsidRPr="005742EC" w:rsidRDefault="00521ED7" w:rsidP="005E5CDC">
      <w:pPr>
        <w:pStyle w:val="Paragrafoelenco"/>
        <w:numPr>
          <w:ilvl w:val="0"/>
          <w:numId w:val="20"/>
        </w:numPr>
        <w:jc w:val="both"/>
      </w:pPr>
      <w:r w:rsidRPr="005742EC">
        <w:t xml:space="preserve">rispettare le disposizioni relative al cumulo delle agevolazioni di cui all’art. 17 dell’Avviso pubblico, nonché non avere ottenuto altri Aiuti sul medesimo Progetto in violazione alle disposizioni relative al cumulo di cui all'art. 8 del GBER e non avere usufruito in precedenza di altri finanziamenti pubblici finalizzati alla realizzazione delle stesse spese previste nel progetto; </w:t>
      </w:r>
    </w:p>
    <w:p w:rsidR="00521ED7" w:rsidRPr="005742EC" w:rsidRDefault="00521ED7" w:rsidP="005E5CDC">
      <w:pPr>
        <w:pStyle w:val="Paragrafoelenco"/>
        <w:numPr>
          <w:ilvl w:val="0"/>
          <w:numId w:val="20"/>
        </w:numPr>
        <w:jc w:val="both"/>
      </w:pPr>
      <w:r w:rsidRPr="005742EC">
        <w:t>essere in regola con la normativa antimafia di cui al D. Lgs 159/2011 e s.m.i;</w:t>
      </w:r>
    </w:p>
    <w:p w:rsidR="00521ED7" w:rsidRPr="005742EC" w:rsidRDefault="00521ED7" w:rsidP="005E5CDC">
      <w:pPr>
        <w:pStyle w:val="Paragrafoelenco"/>
        <w:numPr>
          <w:ilvl w:val="0"/>
          <w:numId w:val="20"/>
        </w:numPr>
        <w:jc w:val="both"/>
      </w:pPr>
      <w:r w:rsidRPr="005742EC">
        <w:t xml:space="preserve">essere in regola con il rispetto delle norme in materia di salute e sicurezza sui luoghi di lavoro ai sensi del decreto legislativo 9 aprile 2008, n. 81 (Attuazione dell’articolo 1 della legge 3 agosto 2007, n. 123, in materia di tutela della salute e della sicurezza nei luoghi di lavoro), nonché operare nel rispetto delle vigenti norme edilizie ed urbanistiche, del lavoro, con particolare riferimento agli obblighi contributivi, del contratto collettivo nazionale per il settore di appartenenza e, se esistente, anche del contratto collettivo territoriale, che siano stati stipulati dalle organizzazioni sindacali dei lavoratori e dalle associazioni dei datori di lavoro comparativamente più rappresentative sui piano nazionale, della prevenzione degli infortuni e della salvaguardia dell'ambiente; </w:t>
      </w:r>
    </w:p>
    <w:p w:rsidR="00521ED7" w:rsidRPr="005742EC" w:rsidRDefault="00521ED7" w:rsidP="005E5CDC">
      <w:pPr>
        <w:pStyle w:val="Paragrafoelenco"/>
        <w:numPr>
          <w:ilvl w:val="0"/>
          <w:numId w:val="20"/>
        </w:numPr>
        <w:jc w:val="both"/>
      </w:pPr>
      <w:r w:rsidRPr="005742EC">
        <w:t xml:space="preserve">non essere destinatario di sanzioni interdittive, concernenti l’esclusione da agevolazione, finanziamenti, contributi o sussidi, ai sensi dell’articolo 9, comma 2, lettera d) del decreto legislativo 8 giugno 2001, n. 231 (Disciplina della responsabilità amministrativa delle persone giuridiche, delle società e delle associazioni anche prive di personalità giuridica, a norma dell'articolo 11 della legge 29 settembre 2000, n. 300) e ss.mm.ii., o altra sanzione che comporti il divieto di contrarre con la pubblica amministrazione; </w:t>
      </w:r>
    </w:p>
    <w:p w:rsidR="00521ED7" w:rsidRDefault="00521ED7" w:rsidP="005E5CDC">
      <w:pPr>
        <w:pStyle w:val="Paragrafoelenco"/>
        <w:numPr>
          <w:ilvl w:val="0"/>
          <w:numId w:val="20"/>
        </w:numPr>
        <w:jc w:val="both"/>
      </w:pPr>
      <w:r w:rsidRPr="005742EC">
        <w:t>non essere impresa i cui legali rappresentanti o amministratori, alla data di presentazione della domanda, siano stati condannati, con sentenza definitiva o decreto penale di condanna divenuto irrevocabile o sentenza di applicazione della pena su richiesta ai sensi dell’articolo 444 del codice di procedura penale, per i reati che costituiscono motivo di esclusione di un operatore economico dalla partecipazione a una procedura di appalto o concessione ai sensi della normativa in materia di contratti pubblici relativi a lavori, servizi e forniture vigente alla data di presentazione della domanda.</w:t>
      </w:r>
    </w:p>
    <w:p w:rsidR="0063318A" w:rsidRPr="005742EC" w:rsidRDefault="0063318A" w:rsidP="0063318A">
      <w:pPr>
        <w:pStyle w:val="Paragrafoelenco"/>
      </w:pPr>
    </w:p>
    <w:p w:rsidR="00913086" w:rsidRPr="00C11638" w:rsidRDefault="00913086" w:rsidP="0063318A">
      <w:pPr>
        <w:pStyle w:val="Titolo2"/>
        <w:spacing w:line="360" w:lineRule="auto"/>
        <w:ind w:left="278"/>
        <w:jc w:val="both"/>
      </w:pPr>
      <w:bookmarkStart w:id="2" w:name="_Toc156824443"/>
      <w:r>
        <w:t>III</w:t>
      </w:r>
      <w:r w:rsidRPr="00913086">
        <w:t xml:space="preserve"> </w:t>
      </w:r>
      <w:r w:rsidR="009E4000">
        <w:t>Settori ammissibili e attività escluse</w:t>
      </w:r>
      <w:bookmarkEnd w:id="2"/>
    </w:p>
    <w:p w:rsidR="009E4000" w:rsidRPr="009E4000" w:rsidRDefault="009E4000" w:rsidP="005E5CDC">
      <w:pPr>
        <w:tabs>
          <w:tab w:val="left" w:pos="142"/>
        </w:tabs>
        <w:ind w:left="284"/>
        <w:jc w:val="both"/>
      </w:pPr>
      <w:r w:rsidRPr="009E4000">
        <w:t>Sono ammissibili al Fondo di Garanzia Mutualistica tutte le attività economiche</w:t>
      </w:r>
      <w:r w:rsidR="00C85F7D">
        <w:t xml:space="preserve">, </w:t>
      </w:r>
      <w:r w:rsidR="00C85F7D" w:rsidRPr="00C85F7D">
        <w:t>purché compatibili con i regimi di aiuti di cui al successivo comma 2</w:t>
      </w:r>
      <w:r w:rsidR="00C85F7D">
        <w:t>,</w:t>
      </w:r>
      <w:r w:rsidRPr="009E4000">
        <w:t xml:space="preserve"> ad eccezione di quelle esplicitamente escluse dal Regolamento (UE) n. 1058/2021, ai sensi del quale il FESR e il Fondo di coesione non sostengono: </w:t>
      </w:r>
    </w:p>
    <w:p w:rsidR="009E4000" w:rsidRPr="009E4000" w:rsidRDefault="009E4000" w:rsidP="005E5CDC">
      <w:pPr>
        <w:pStyle w:val="Paragrafoelenco"/>
        <w:numPr>
          <w:ilvl w:val="0"/>
          <w:numId w:val="21"/>
        </w:numPr>
        <w:tabs>
          <w:tab w:val="left" w:pos="142"/>
        </w:tabs>
        <w:jc w:val="both"/>
      </w:pPr>
      <w:r w:rsidRPr="009E4000">
        <w:t xml:space="preserve">lo smantellamento o la costruzione di centrali nucleari; </w:t>
      </w:r>
    </w:p>
    <w:p w:rsidR="009E4000" w:rsidRPr="009E4000" w:rsidRDefault="009E4000" w:rsidP="005E5CDC">
      <w:pPr>
        <w:pStyle w:val="Paragrafoelenco"/>
        <w:numPr>
          <w:ilvl w:val="0"/>
          <w:numId w:val="21"/>
        </w:numPr>
        <w:tabs>
          <w:tab w:val="left" w:pos="142"/>
        </w:tabs>
        <w:jc w:val="both"/>
      </w:pPr>
      <w:r w:rsidRPr="009E4000">
        <w:t xml:space="preserve">gli investimenti volti a conseguire la riduzione delle emissioni di gas a effetto serra provenienti da attività elencate nell’allegato I della direttiva 2003/87/CE; </w:t>
      </w:r>
    </w:p>
    <w:p w:rsidR="009E4000" w:rsidRPr="009E4000" w:rsidRDefault="009E4000" w:rsidP="005E5CDC">
      <w:pPr>
        <w:pStyle w:val="Paragrafoelenco"/>
        <w:numPr>
          <w:ilvl w:val="0"/>
          <w:numId w:val="21"/>
        </w:numPr>
        <w:tabs>
          <w:tab w:val="left" w:pos="142"/>
        </w:tabs>
        <w:jc w:val="both"/>
      </w:pPr>
      <w:r w:rsidRPr="009E4000">
        <w:t>la fabbricazione, la trasformazione e la commercializzazione del tabacco e dei prodotti del tabacco;</w:t>
      </w:r>
    </w:p>
    <w:p w:rsidR="009E4000" w:rsidRPr="009E4000" w:rsidRDefault="009E4000" w:rsidP="005E5CDC">
      <w:pPr>
        <w:pStyle w:val="Paragrafoelenco"/>
        <w:numPr>
          <w:ilvl w:val="0"/>
          <w:numId w:val="21"/>
        </w:numPr>
        <w:tabs>
          <w:tab w:val="left" w:pos="142"/>
        </w:tabs>
        <w:jc w:val="both"/>
      </w:pPr>
      <w:r w:rsidRPr="009E4000">
        <w:t xml:space="preserve">un’impresa in difficoltà, quali definite all’articolo 2, punto 18), del regolamento (UE) n. 651/2014 come modificato dal Regolamento della Commissione n. 1315/2023 salvo se autorizzato nell’ambito di aiuti de minimis o di norme temporanee in materia di aiuto di Stato per far fronte a circostanze eccezionali; </w:t>
      </w:r>
    </w:p>
    <w:p w:rsidR="009E4000" w:rsidRPr="009E4000" w:rsidRDefault="009E4000" w:rsidP="005E5CDC">
      <w:pPr>
        <w:pStyle w:val="Paragrafoelenco"/>
        <w:numPr>
          <w:ilvl w:val="0"/>
          <w:numId w:val="21"/>
        </w:numPr>
        <w:tabs>
          <w:tab w:val="left" w:pos="142"/>
        </w:tabs>
        <w:jc w:val="both"/>
      </w:pPr>
      <w:r w:rsidRPr="009E4000">
        <w:t xml:space="preserve">gli investimenti in infrastrutture aeroportuali, eccetto nelle regioni ultraperiferiche o negli aeroporti regionali esistenti quali definiti all’articolo 2, punto 153), del regolamento (UE) n. 651/2014 come modificato dal Regolamento della Commissione n. 1315/2023, in uno dei casi seguenti: </w:t>
      </w:r>
    </w:p>
    <w:p w:rsidR="009E4000" w:rsidRPr="009E4000" w:rsidRDefault="009E4000" w:rsidP="005E5CDC">
      <w:pPr>
        <w:pStyle w:val="Paragrafoelenco"/>
        <w:numPr>
          <w:ilvl w:val="2"/>
          <w:numId w:val="21"/>
        </w:numPr>
        <w:tabs>
          <w:tab w:val="left" w:pos="142"/>
        </w:tabs>
        <w:jc w:val="both"/>
      </w:pPr>
      <w:r w:rsidRPr="009E4000">
        <w:t xml:space="preserve">nelle misure di mitigazione dell’impatto ambientale; o </w:t>
      </w:r>
    </w:p>
    <w:p w:rsidR="009E4000" w:rsidRPr="009E4000" w:rsidRDefault="009E4000" w:rsidP="005E5CDC">
      <w:pPr>
        <w:pStyle w:val="Paragrafoelenco"/>
        <w:numPr>
          <w:ilvl w:val="2"/>
          <w:numId w:val="21"/>
        </w:numPr>
        <w:tabs>
          <w:tab w:val="left" w:pos="142"/>
        </w:tabs>
        <w:jc w:val="both"/>
      </w:pPr>
      <w:r w:rsidRPr="009E4000">
        <w:t xml:space="preserve">nei sistemi di sicurezza e di gestione del traffico aereo risultanti dalla ricerca sulla gestione del traffico aereo nel cielo unico europeo; </w:t>
      </w:r>
    </w:p>
    <w:p w:rsidR="009E4000" w:rsidRPr="009E4000" w:rsidRDefault="009E4000" w:rsidP="005E5CDC">
      <w:pPr>
        <w:pStyle w:val="Paragrafoelenco"/>
        <w:numPr>
          <w:ilvl w:val="0"/>
          <w:numId w:val="21"/>
        </w:numPr>
        <w:jc w:val="both"/>
      </w:pPr>
      <w:r w:rsidRPr="009E4000">
        <w:lastRenderedPageBreak/>
        <w:t xml:space="preserve">gli investimenti in attività di smaltimento dei rifiuti in discariche, eccetto: </w:t>
      </w:r>
    </w:p>
    <w:p w:rsidR="009E4000" w:rsidRPr="009E4000" w:rsidRDefault="009E4000" w:rsidP="005E5CDC">
      <w:pPr>
        <w:pStyle w:val="Paragrafoelenco"/>
        <w:numPr>
          <w:ilvl w:val="2"/>
          <w:numId w:val="21"/>
        </w:numPr>
        <w:ind w:left="1276" w:hanging="567"/>
        <w:jc w:val="both"/>
      </w:pPr>
      <w:r w:rsidRPr="009E4000">
        <w:t xml:space="preserve">per le regioni ultraperiferiche, solo in casi debitamente giustificati; o </w:t>
      </w:r>
    </w:p>
    <w:p w:rsidR="009E4000" w:rsidRPr="009E4000" w:rsidRDefault="009E4000" w:rsidP="005E5CDC">
      <w:pPr>
        <w:pStyle w:val="Paragrafoelenco"/>
        <w:numPr>
          <w:ilvl w:val="2"/>
          <w:numId w:val="21"/>
        </w:numPr>
        <w:ind w:left="1276" w:hanging="567"/>
        <w:jc w:val="both"/>
      </w:pPr>
      <w:r w:rsidRPr="009E4000">
        <w:t xml:space="preserve">per gli investimenti finalizzati alla dismissione, riconversione o messa in sicurezza delle discariche esistenti, a condizione che tali investimenti non ne aumentino la capacità; </w:t>
      </w:r>
    </w:p>
    <w:p w:rsidR="009E4000" w:rsidRPr="009E4000" w:rsidRDefault="009E4000" w:rsidP="005E5CDC">
      <w:pPr>
        <w:pStyle w:val="Paragrafoelenco"/>
        <w:numPr>
          <w:ilvl w:val="0"/>
          <w:numId w:val="21"/>
        </w:numPr>
        <w:jc w:val="both"/>
      </w:pPr>
      <w:r w:rsidRPr="009E4000">
        <w:t xml:space="preserve">gli investimenti destinati ad aumentare la capacità degli impianti di trattamento dei rifiuti residui, eccetto: </w:t>
      </w:r>
    </w:p>
    <w:p w:rsidR="009E4000" w:rsidRPr="009E4000" w:rsidRDefault="009E4000" w:rsidP="005E5CDC">
      <w:pPr>
        <w:pStyle w:val="Paragrafoelenco"/>
        <w:numPr>
          <w:ilvl w:val="2"/>
          <w:numId w:val="21"/>
        </w:numPr>
        <w:ind w:left="1276" w:hanging="567"/>
        <w:jc w:val="both"/>
      </w:pPr>
      <w:r w:rsidRPr="009E4000">
        <w:t>per le regioni ultraperiferiche, solo in casi debitamente giustificati;</w:t>
      </w:r>
    </w:p>
    <w:p w:rsidR="009E4000" w:rsidRPr="009E4000" w:rsidRDefault="009E4000" w:rsidP="005E5CDC">
      <w:pPr>
        <w:pStyle w:val="Paragrafoelenco"/>
        <w:numPr>
          <w:ilvl w:val="2"/>
          <w:numId w:val="21"/>
        </w:numPr>
        <w:ind w:left="1276" w:hanging="567"/>
        <w:jc w:val="both"/>
      </w:pPr>
      <w:r w:rsidRPr="009E4000">
        <w:t>gli investimenti in tecnologie per il recupero di materiali dai rifiuti residui ai fini dell’economia circolare L 231/76 IT Gazzetta ufficiale dell’Unione europea 30.6.2021;</w:t>
      </w:r>
    </w:p>
    <w:p w:rsidR="009E4000" w:rsidRPr="009E4000" w:rsidRDefault="009E4000" w:rsidP="005E5CDC">
      <w:pPr>
        <w:pStyle w:val="Paragrafoelenco"/>
        <w:numPr>
          <w:ilvl w:val="0"/>
          <w:numId w:val="21"/>
        </w:numPr>
        <w:jc w:val="both"/>
      </w:pPr>
      <w:r w:rsidRPr="009E4000">
        <w:t xml:space="preserve">gli investimenti legati alla produzione, alla trasformazione, al trasporto, alla distribuzione, allo stoccaggio o alla combustione di combustibili fossili, eccetto: </w:t>
      </w:r>
    </w:p>
    <w:p w:rsidR="009E4000" w:rsidRPr="009E4000" w:rsidRDefault="009E4000" w:rsidP="005E5CDC">
      <w:pPr>
        <w:pStyle w:val="Paragrafoelenco"/>
        <w:numPr>
          <w:ilvl w:val="2"/>
          <w:numId w:val="21"/>
        </w:numPr>
        <w:ind w:left="1276" w:hanging="567"/>
        <w:jc w:val="both"/>
      </w:pPr>
      <w:r w:rsidRPr="009E4000">
        <w:t xml:space="preserve">la sostituzione degli impianti di riscaldamento alimentati da combustibili fossili solidi, vale a dire carbone, torba, lignite, scisto bituminoso, con impianti di riscaldamento alimentati a gas ai seguenti fini: </w:t>
      </w:r>
    </w:p>
    <w:p w:rsidR="009E4000" w:rsidRPr="009E4000" w:rsidRDefault="009E4000" w:rsidP="005E5CDC">
      <w:pPr>
        <w:pStyle w:val="Paragrafoelenco"/>
        <w:numPr>
          <w:ilvl w:val="3"/>
          <w:numId w:val="21"/>
        </w:numPr>
        <w:ind w:left="1843" w:hanging="567"/>
        <w:jc w:val="both"/>
      </w:pPr>
      <w:r w:rsidRPr="009E4000">
        <w:t xml:space="preserve">ammodernamento dei sistemi di teleriscaldamento e di teleraffreddamento per portarli allo stato di «teleriscaldamento e teleraffreddamento efficienti» come definiti all’articolo 2, punto 41, della direttiva 2012/27/UE; </w:t>
      </w:r>
    </w:p>
    <w:p w:rsidR="009E4000" w:rsidRPr="009E4000" w:rsidRDefault="009E4000" w:rsidP="005E5CDC">
      <w:pPr>
        <w:pStyle w:val="Paragrafoelenco"/>
        <w:numPr>
          <w:ilvl w:val="3"/>
          <w:numId w:val="21"/>
        </w:numPr>
        <w:ind w:left="1843" w:hanging="567"/>
        <w:jc w:val="both"/>
      </w:pPr>
      <w:r w:rsidRPr="009E4000">
        <w:t xml:space="preserve">ammodernamento degli impianti di cogenerazione di calore ed elettricità per portarli allo stato di «cogenerazione ad alto rendimento» come definiti all’articolo 2, punto 34, della direttiva 2012/27/UE; </w:t>
      </w:r>
    </w:p>
    <w:p w:rsidR="009E4000" w:rsidRPr="009E4000" w:rsidRDefault="009E4000" w:rsidP="005E5CDC">
      <w:pPr>
        <w:pStyle w:val="Paragrafoelenco"/>
        <w:numPr>
          <w:ilvl w:val="3"/>
          <w:numId w:val="21"/>
        </w:numPr>
        <w:ind w:left="1843" w:hanging="567"/>
        <w:jc w:val="both"/>
      </w:pPr>
      <w:r w:rsidRPr="009E4000">
        <w:t>investimenti in caldaie e sistemi di riscaldamento alimentati a gas naturale in alloggi ed edifici in sostituzione di impianti a carbone, torba, lignite o scisto bituminoso;</w:t>
      </w:r>
    </w:p>
    <w:p w:rsidR="009E4000" w:rsidRPr="009E4000" w:rsidRDefault="009E4000" w:rsidP="005E5CDC">
      <w:pPr>
        <w:pStyle w:val="Paragrafoelenco"/>
        <w:numPr>
          <w:ilvl w:val="2"/>
          <w:numId w:val="21"/>
        </w:numPr>
        <w:ind w:left="1276" w:hanging="567"/>
        <w:jc w:val="both"/>
      </w:pPr>
      <w:r w:rsidRPr="009E4000">
        <w:t>gli investimenti nell’espansione e nel cambio di destinazione, nella conversione o nell’adeguamento delle reti di trasporto e distribuzione del gas, a condizione che tali investimenti adattino le reti per introdurre nel sistema gas rinnovabili e a basse emissioni di carbonio, quali idrogeno, biometano e gas di sintesi, e consentano di sostituire gli impianti a combustibili fossili solidi;</w:t>
      </w:r>
    </w:p>
    <w:p w:rsidR="009E4000" w:rsidRPr="009E4000" w:rsidRDefault="009E4000" w:rsidP="005E5CDC">
      <w:pPr>
        <w:pStyle w:val="Paragrafoelenco"/>
        <w:numPr>
          <w:ilvl w:val="2"/>
          <w:numId w:val="21"/>
        </w:numPr>
        <w:ind w:left="1276" w:hanging="567"/>
        <w:jc w:val="both"/>
      </w:pPr>
      <w:r w:rsidRPr="009E4000">
        <w:t xml:space="preserve">gli investimenti in: </w:t>
      </w:r>
    </w:p>
    <w:p w:rsidR="009E4000" w:rsidRPr="009E4000" w:rsidRDefault="009E4000" w:rsidP="005E5CDC">
      <w:pPr>
        <w:pStyle w:val="Paragrafoelenco"/>
        <w:numPr>
          <w:ilvl w:val="3"/>
          <w:numId w:val="21"/>
        </w:numPr>
        <w:ind w:left="1843" w:hanging="567"/>
        <w:jc w:val="both"/>
      </w:pPr>
      <w:r w:rsidRPr="009E4000">
        <w:t xml:space="preserve">veicoli puliti quali definiti nella direttiva 2009/33/CE del Parlamento europeo e del Consiglio (22) a fini pubblici; </w:t>
      </w:r>
    </w:p>
    <w:p w:rsidR="009E4000" w:rsidRPr="009E4000" w:rsidRDefault="009E4000" w:rsidP="005E5CDC">
      <w:pPr>
        <w:pStyle w:val="Paragrafoelenco"/>
        <w:numPr>
          <w:ilvl w:val="3"/>
          <w:numId w:val="21"/>
        </w:numPr>
        <w:ind w:left="1843" w:hanging="567"/>
        <w:jc w:val="both"/>
      </w:pPr>
      <w:r w:rsidRPr="009E4000">
        <w:t>veicoli, aeromobili e imbarcazioni progettati e costruiti o adattati per essere utilizzati dai servizi di protezione civile e antincendio.</w:t>
      </w:r>
    </w:p>
    <w:p w:rsidR="009E4000" w:rsidRPr="009E4000" w:rsidRDefault="009E4000" w:rsidP="005E5CDC">
      <w:pPr>
        <w:tabs>
          <w:tab w:val="left" w:pos="142"/>
        </w:tabs>
        <w:ind w:left="284"/>
        <w:jc w:val="both"/>
      </w:pPr>
      <w:r w:rsidRPr="009E4000">
        <w:t xml:space="preserve">Le attività economiche dovranno risultare ammissibili rispetto a quanto previsto dal Regolamento (UE) n. </w:t>
      </w:r>
      <w:r w:rsidR="00047D69">
        <w:t>2831</w:t>
      </w:r>
      <w:r w:rsidRPr="009E4000">
        <w:t>/20</w:t>
      </w:r>
      <w:r w:rsidR="00047D69">
        <w:t>2</w:t>
      </w:r>
      <w:r w:rsidRPr="009E4000">
        <w:t>3 del 1</w:t>
      </w:r>
      <w:r w:rsidR="00047D69">
        <w:t>3 dicembre 202</w:t>
      </w:r>
      <w:r w:rsidRPr="009E4000">
        <w:t>3 per la concessione di aiuti di importanza minore alle PMI (de minimis), ovvero nel rispetto delle condizioni previste dal regolamento di esenzione UE n. 651/2014, come modificato dal Regolamento della Commissione n. 1315/2023 del 23/06/2023, limitatamente ai seguenti articoli:</w:t>
      </w:r>
    </w:p>
    <w:p w:rsidR="009E4000" w:rsidRPr="009E4000" w:rsidRDefault="009E4000" w:rsidP="005E5CDC">
      <w:pPr>
        <w:pStyle w:val="Paragrafoelenco"/>
        <w:numPr>
          <w:ilvl w:val="3"/>
          <w:numId w:val="21"/>
        </w:numPr>
        <w:ind w:left="1276" w:hanging="567"/>
        <w:jc w:val="both"/>
      </w:pPr>
      <w:r w:rsidRPr="009E4000">
        <w:t>n. 14 “Aiuti a finalità regionale agli investimenti”</w:t>
      </w:r>
      <w:r w:rsidR="00C07C99">
        <w:t xml:space="preserve"> </w:t>
      </w:r>
      <w:r w:rsidR="00C07C99" w:rsidRPr="00C07C99">
        <w:t xml:space="preserve">unicamente </w:t>
      </w:r>
      <w:r w:rsidR="00C07C99" w:rsidRPr="0063318A">
        <w:t>per gli interventi di cui al successivo par. IV comma 1 lettera a);</w:t>
      </w:r>
      <w:r w:rsidRPr="009E4000">
        <w:t xml:space="preserve"> </w:t>
      </w:r>
    </w:p>
    <w:p w:rsidR="009E4000" w:rsidRDefault="009E4000" w:rsidP="005E5CDC">
      <w:pPr>
        <w:pStyle w:val="Paragrafoelenco"/>
        <w:numPr>
          <w:ilvl w:val="3"/>
          <w:numId w:val="21"/>
        </w:numPr>
        <w:ind w:left="1276" w:hanging="567"/>
        <w:jc w:val="both"/>
      </w:pPr>
      <w:r w:rsidRPr="009E4000">
        <w:t>n.  22 “Aiuti alle imprese in fase di avviamento”.</w:t>
      </w:r>
    </w:p>
    <w:p w:rsidR="00A4742D" w:rsidRPr="00C11638" w:rsidRDefault="00A4742D" w:rsidP="005E5CDC">
      <w:pPr>
        <w:pStyle w:val="Titolo2"/>
        <w:spacing w:line="360" w:lineRule="auto"/>
        <w:ind w:left="278"/>
        <w:jc w:val="both"/>
      </w:pPr>
      <w:bookmarkStart w:id="3" w:name="_Toc156824444"/>
      <w:r>
        <w:t>IV</w:t>
      </w:r>
      <w:r w:rsidRPr="00913086">
        <w:t xml:space="preserve"> </w:t>
      </w:r>
      <w:r>
        <w:t>Tipologia ed entità delle agevolazioni</w:t>
      </w:r>
      <w:bookmarkEnd w:id="3"/>
    </w:p>
    <w:p w:rsidR="002F5896" w:rsidRPr="00BF3632" w:rsidRDefault="002F5896" w:rsidP="002F5896">
      <w:pPr>
        <w:pStyle w:val="Paragrafoelenco"/>
        <w:numPr>
          <w:ilvl w:val="0"/>
          <w:numId w:val="7"/>
        </w:numPr>
        <w:jc w:val="both"/>
      </w:pPr>
      <w:r w:rsidRPr="00BF3632">
        <w:t>Gli aiuti concessi riguardano le seguenti operazioni, anche di portafoglio:</w:t>
      </w:r>
    </w:p>
    <w:p w:rsidR="002F5896" w:rsidRPr="00BF3632" w:rsidRDefault="002F5896" w:rsidP="002F5896">
      <w:pPr>
        <w:pStyle w:val="Paragrafoelenco"/>
        <w:numPr>
          <w:ilvl w:val="1"/>
          <w:numId w:val="7"/>
        </w:numPr>
        <w:jc w:val="both"/>
      </w:pPr>
      <w:r w:rsidRPr="00BF3632">
        <w:t xml:space="preserve">Garanzia su prestiti finalizzati agli investimenti, ove l’importo garantito dei prestiti sottesi non superi 1.500.000,00 euro per impresa. </w:t>
      </w:r>
    </w:p>
    <w:p w:rsidR="002F5896" w:rsidRPr="00BF3632" w:rsidRDefault="002F5896" w:rsidP="002F5896">
      <w:pPr>
        <w:pStyle w:val="Paragrafoelenco"/>
        <w:numPr>
          <w:ilvl w:val="1"/>
          <w:numId w:val="7"/>
        </w:numPr>
        <w:jc w:val="both"/>
      </w:pPr>
      <w:r w:rsidRPr="00BF3632">
        <w:t>Garanzia su prestiti finalizzati all’attivo circolante (a titolo esemplificativo: scorte di materie prime e prodotti finiti, contratto di credito edilizio per costruzioni, anticipo export-import, anticipo fatture, anticipo contratti, salvo buon fine) ove l’importo garantito dei prestiti sottesi non superi 800.000,00 euro per impresa.</w:t>
      </w:r>
    </w:p>
    <w:p w:rsidR="002F5896" w:rsidRPr="002535AC" w:rsidRDefault="002F5896" w:rsidP="002F5896">
      <w:pPr>
        <w:pStyle w:val="Paragrafoelenco"/>
        <w:numPr>
          <w:ilvl w:val="0"/>
          <w:numId w:val="7"/>
        </w:numPr>
        <w:jc w:val="both"/>
      </w:pPr>
      <w:r w:rsidRPr="002535AC">
        <w:t xml:space="preserve">Gli interventi di cui al precedente comma 1 lettera a) devono essere compatibili con il principio DNSH, in quanto coerenti con la pertinente legislazione ambientale e di mitigazione ambientale di livello europeo, </w:t>
      </w:r>
      <w:r w:rsidRPr="002535AC">
        <w:lastRenderedPageBreak/>
        <w:t>nazionale e regionale. Ai sensi dell’articolo 9 comma 4 del Regolamento (UE) 1060/2021, in considerazione della dimensione delle imprese e della natura degli investimenti, sarà verificato con modalità semplificata il rispetto del principio di non arrecare un danno significativo agli obiettivi ambientali così come definito dall’articolo 17 del Regolamento (UE) 852/2020 ed integrato dal Regolamento Delegato (UE) 2021/2139 in relazione alla mitigazione dei cambiamenti climatici o degli adattamenti ai cambiamenti climatici.</w:t>
      </w:r>
    </w:p>
    <w:p w:rsidR="001B3DA4" w:rsidRPr="00AB71EB" w:rsidRDefault="001B3DA4" w:rsidP="001B3DA4">
      <w:pPr>
        <w:pStyle w:val="Paragrafoelenco"/>
        <w:numPr>
          <w:ilvl w:val="0"/>
          <w:numId w:val="7"/>
        </w:numPr>
        <w:jc w:val="both"/>
      </w:pPr>
      <w:r w:rsidRPr="00AB71EB">
        <w:t>Ai sensi dell’art. 64 del Reg. UE 1060/2021 non sono ammissibili al</w:t>
      </w:r>
      <w:r w:rsidR="009E23E2" w:rsidRPr="00AB71EB">
        <w:t>le agevolazioni</w:t>
      </w:r>
      <w:r w:rsidRPr="00AB71EB">
        <w:t xml:space="preserve"> del fondo l’acquisto di terreni per un importo superiore al 10 % dell’importo del prestito sottostante alla garanzie concessa; per i siti in stato di degrado e per quelli precedentemente adibiti a uso industriale che comprendono edifici, tale limite è aumentato al 15%.</w:t>
      </w:r>
    </w:p>
    <w:p w:rsidR="00913086" w:rsidRPr="00AB3BAD" w:rsidRDefault="00913086" w:rsidP="00187855">
      <w:pPr>
        <w:pStyle w:val="Paragrafoelenco"/>
        <w:numPr>
          <w:ilvl w:val="0"/>
          <w:numId w:val="7"/>
        </w:numPr>
        <w:jc w:val="both"/>
      </w:pPr>
      <w:r w:rsidRPr="00AB3BAD">
        <w:t>Il tasso di garanzia non deve superare l’80% del prestito concesso all’impresa. Il moltiplicatore (cd. Rapporto di gearing</w:t>
      </w:r>
      <w:r w:rsidRPr="0035261E">
        <w:t>) è pari a 4.</w:t>
      </w:r>
    </w:p>
    <w:p w:rsidR="00913086" w:rsidRPr="00AB3BAD" w:rsidRDefault="00913086" w:rsidP="00187855">
      <w:pPr>
        <w:pStyle w:val="Paragrafoelenco"/>
        <w:numPr>
          <w:ilvl w:val="0"/>
          <w:numId w:val="7"/>
        </w:numPr>
        <w:spacing w:after="0"/>
        <w:ind w:left="641" w:hanging="357"/>
        <w:jc w:val="both"/>
      </w:pPr>
      <w:r w:rsidRPr="00AB3BAD">
        <w:t>Gli aiuti di cui al precedente comma 1 danno luogo ad un’intensità di aiuto verso i destinatari finali pari ad un Equivalente Sovvenzione Lordo calcolato utilizzando il metodo nazionale previsto dal Regolamento (UE) n. 965/2014 – Allegato II sezione “Implicazioni in materia di Aiuti di Stato” lettera b).</w:t>
      </w:r>
    </w:p>
    <w:p w:rsidR="00023B0C" w:rsidRDefault="00023B0C" w:rsidP="00187855">
      <w:pPr>
        <w:pStyle w:val="Paragrafoelenco"/>
        <w:numPr>
          <w:ilvl w:val="0"/>
          <w:numId w:val="7"/>
        </w:numPr>
        <w:jc w:val="both"/>
      </w:pPr>
      <w:r w:rsidRPr="00FF78C8">
        <w:t xml:space="preserve">L’importo complessivo degli aiuti concessi ai sensi del comma 1, unitamente a quelli concessi al medesimo destinatario da altre Amministrazioni, Enti ed Organismi pubblici non devono superare le soglie dei rispettivi Regolamenti in vigore al momento della concessione. </w:t>
      </w:r>
    </w:p>
    <w:p w:rsidR="00913086" w:rsidRPr="00B54816" w:rsidRDefault="00913086" w:rsidP="00913086">
      <w:pPr>
        <w:pStyle w:val="Titolo2"/>
        <w:spacing w:line="360" w:lineRule="auto"/>
        <w:ind w:left="278"/>
        <w:jc w:val="both"/>
      </w:pPr>
      <w:bookmarkStart w:id="4" w:name="_Toc474858602"/>
      <w:bookmarkStart w:id="5" w:name="_Toc156824445"/>
      <w:bookmarkEnd w:id="4"/>
      <w:r w:rsidRPr="00B54816">
        <w:t>V. Novità dell’iniziativa</w:t>
      </w:r>
      <w:bookmarkEnd w:id="5"/>
    </w:p>
    <w:p w:rsidR="002F5896" w:rsidRPr="00435E65" w:rsidRDefault="000961CD" w:rsidP="00FB1FA9">
      <w:pPr>
        <w:pStyle w:val="Default"/>
        <w:spacing w:after="240"/>
        <w:ind w:left="284"/>
        <w:jc w:val="both"/>
        <w:rPr>
          <w:rFonts w:asciiTheme="minorHAnsi" w:hAnsiTheme="minorHAnsi" w:cs="Verdana"/>
          <w:sz w:val="22"/>
          <w:szCs w:val="22"/>
        </w:rPr>
      </w:pPr>
      <w:bookmarkStart w:id="6" w:name="_Toc474858603"/>
      <w:bookmarkEnd w:id="6"/>
      <w:r w:rsidRPr="00B54816">
        <w:rPr>
          <w:rFonts w:asciiTheme="minorHAnsi" w:hAnsiTheme="minorHAnsi" w:cs="Verdana"/>
          <w:sz w:val="22"/>
          <w:szCs w:val="22"/>
        </w:rPr>
        <w:t>Il Fondo di Garanzia Mutualistica è espressione del</w:t>
      </w:r>
      <w:r w:rsidR="00435E65" w:rsidRPr="00B54816">
        <w:rPr>
          <w:rFonts w:asciiTheme="minorHAnsi" w:hAnsiTheme="minorHAnsi" w:cs="Verdana"/>
          <w:sz w:val="22"/>
          <w:szCs w:val="22"/>
        </w:rPr>
        <w:t xml:space="preserve">la strategia del </w:t>
      </w:r>
      <w:r w:rsidRPr="00B54816">
        <w:rPr>
          <w:rFonts w:asciiTheme="minorHAnsi" w:hAnsiTheme="minorHAnsi" w:cs="Verdana"/>
          <w:sz w:val="22"/>
          <w:szCs w:val="22"/>
        </w:rPr>
        <w:t xml:space="preserve">Programma Regionale </w:t>
      </w:r>
      <w:r w:rsidRPr="000961CD">
        <w:rPr>
          <w:rFonts w:asciiTheme="minorHAnsi" w:hAnsiTheme="minorHAnsi" w:cs="Verdana"/>
          <w:sz w:val="22"/>
          <w:szCs w:val="22"/>
        </w:rPr>
        <w:t xml:space="preserve">FESR-FSE+ </w:t>
      </w:r>
      <w:r w:rsidR="00435E65" w:rsidRPr="00B54816">
        <w:rPr>
          <w:rFonts w:asciiTheme="minorHAnsi" w:hAnsiTheme="minorHAnsi" w:cs="Verdana"/>
          <w:sz w:val="22"/>
          <w:szCs w:val="22"/>
        </w:rPr>
        <w:t>2021-2027 ed è</w:t>
      </w:r>
      <w:r w:rsidRPr="00B54816">
        <w:rPr>
          <w:rFonts w:asciiTheme="minorHAnsi" w:hAnsiTheme="minorHAnsi" w:cs="Verdana"/>
          <w:sz w:val="22"/>
          <w:szCs w:val="22"/>
        </w:rPr>
        <w:t xml:space="preserve"> aggiornato nel rispetto di</w:t>
      </w:r>
      <w:r w:rsidR="002F5896" w:rsidRPr="00B54816">
        <w:rPr>
          <w:rFonts w:asciiTheme="minorHAnsi" w:hAnsiTheme="minorHAnsi" w:cs="Verdana"/>
          <w:sz w:val="22"/>
          <w:szCs w:val="22"/>
        </w:rPr>
        <w:t xml:space="preserve"> quanto disposto dalla vigente normativa </w:t>
      </w:r>
      <w:r w:rsidR="00435E65" w:rsidRPr="00B54816">
        <w:rPr>
          <w:rFonts w:asciiTheme="minorHAnsi" w:hAnsiTheme="minorHAnsi" w:cs="Verdana"/>
          <w:sz w:val="22"/>
          <w:szCs w:val="22"/>
        </w:rPr>
        <w:t xml:space="preserve">nazionale nonché dai </w:t>
      </w:r>
      <w:r w:rsidRPr="00B54816">
        <w:rPr>
          <w:rFonts w:asciiTheme="minorHAnsi" w:hAnsiTheme="minorHAnsi" w:cs="Verdana"/>
          <w:sz w:val="22"/>
          <w:szCs w:val="22"/>
        </w:rPr>
        <w:t>Regolamenti (UE)</w:t>
      </w:r>
      <w:r w:rsidR="00435E65" w:rsidRPr="00B54816">
        <w:rPr>
          <w:rFonts w:asciiTheme="minorHAnsi" w:hAnsiTheme="minorHAnsi" w:cs="Verdana"/>
          <w:sz w:val="22"/>
          <w:szCs w:val="22"/>
        </w:rPr>
        <w:t xml:space="preserve"> sugli aiuti e sug</w:t>
      </w:r>
      <w:r w:rsidRPr="00B54816">
        <w:rPr>
          <w:rFonts w:asciiTheme="minorHAnsi" w:hAnsiTheme="minorHAnsi" w:cs="Verdana"/>
          <w:sz w:val="22"/>
          <w:szCs w:val="22"/>
        </w:rPr>
        <w:t>li Strumenti Finanziari.</w:t>
      </w:r>
      <w:r w:rsidRPr="00435E65">
        <w:rPr>
          <w:rFonts w:asciiTheme="minorHAnsi" w:hAnsiTheme="minorHAnsi" w:cs="Verdana"/>
          <w:sz w:val="22"/>
          <w:szCs w:val="22"/>
        </w:rPr>
        <w:t xml:space="preserve"> </w:t>
      </w:r>
    </w:p>
    <w:p w:rsidR="00913086" w:rsidRPr="00B72250" w:rsidRDefault="00913086" w:rsidP="00913086">
      <w:pPr>
        <w:pStyle w:val="Titolo2"/>
        <w:spacing w:line="360" w:lineRule="auto"/>
        <w:ind w:left="278"/>
        <w:jc w:val="both"/>
      </w:pPr>
      <w:bookmarkStart w:id="7" w:name="_Toc156824446"/>
      <w:r w:rsidRPr="00B72250">
        <w:t>VI. Spese ammissibili</w:t>
      </w:r>
      <w:bookmarkEnd w:id="7"/>
    </w:p>
    <w:p w:rsidR="00913086" w:rsidRPr="0035261E" w:rsidRDefault="00913086" w:rsidP="00023B0C">
      <w:pPr>
        <w:spacing w:after="0"/>
        <w:ind w:left="284"/>
        <w:jc w:val="both"/>
      </w:pPr>
      <w:r w:rsidRPr="0035261E">
        <w:rPr>
          <w:rFonts w:cs="Verdana"/>
          <w:color w:val="000000"/>
        </w:rPr>
        <w:t>Per quanto concerne gli investimenti in attivi materiali e immateriali sono ammissibili a garanzia i finanziamenti destinati a coprire</w:t>
      </w:r>
      <w:r w:rsidR="0073199A" w:rsidRPr="0035261E">
        <w:rPr>
          <w:rFonts w:cs="Verdana"/>
          <w:color w:val="000000"/>
        </w:rPr>
        <w:t xml:space="preserve"> </w:t>
      </w:r>
      <w:r w:rsidRPr="0035261E">
        <w:rPr>
          <w:rFonts w:cs="Verdana"/>
          <w:color w:val="000000"/>
        </w:rPr>
        <w:t>le seguenti spese:</w:t>
      </w:r>
    </w:p>
    <w:p w:rsidR="00913086" w:rsidRPr="0035261E" w:rsidRDefault="00913086" w:rsidP="00023B0C">
      <w:pPr>
        <w:spacing w:after="0"/>
        <w:ind w:left="284"/>
        <w:jc w:val="both"/>
      </w:pPr>
      <w:r w:rsidRPr="0035261E">
        <w:rPr>
          <w:rFonts w:cs="Verdana"/>
          <w:color w:val="000000"/>
        </w:rPr>
        <w:t>a) attivi materiali</w:t>
      </w:r>
      <w:r w:rsidR="0073199A" w:rsidRPr="0035261E">
        <w:rPr>
          <w:rFonts w:cs="Verdana"/>
          <w:color w:val="000000"/>
        </w:rPr>
        <w:t>, quali a titolo meramente esemplificativo</w:t>
      </w:r>
      <w:r w:rsidRPr="0035261E">
        <w:rPr>
          <w:rFonts w:cs="Verdana"/>
          <w:color w:val="000000"/>
        </w:rPr>
        <w:t>:</w:t>
      </w:r>
    </w:p>
    <w:p w:rsidR="00023B0C" w:rsidRPr="0035261E" w:rsidRDefault="00913086" w:rsidP="00187855">
      <w:pPr>
        <w:pStyle w:val="Paragrafoelenco"/>
        <w:numPr>
          <w:ilvl w:val="0"/>
          <w:numId w:val="8"/>
        </w:numPr>
        <w:spacing w:after="0" w:line="240" w:lineRule="auto"/>
        <w:ind w:left="709" w:hanging="283"/>
        <w:jc w:val="both"/>
      </w:pPr>
      <w:r w:rsidRPr="0035261E">
        <w:rPr>
          <w:rFonts w:cs="Verdana"/>
          <w:color w:val="000000"/>
        </w:rPr>
        <w:t>acquisto del suolo aziendale e sue sistemazioni in misura non superiore al 10% del costo complessivo dell’investimento in attivi materiali;</w:t>
      </w:r>
    </w:p>
    <w:p w:rsidR="00023B0C" w:rsidRPr="0035261E" w:rsidRDefault="00913086" w:rsidP="00187855">
      <w:pPr>
        <w:pStyle w:val="Paragrafoelenco"/>
        <w:numPr>
          <w:ilvl w:val="0"/>
          <w:numId w:val="8"/>
        </w:numPr>
        <w:spacing w:after="0" w:line="240" w:lineRule="auto"/>
        <w:ind w:left="709" w:hanging="283"/>
        <w:jc w:val="both"/>
      </w:pPr>
      <w:r w:rsidRPr="0035261E">
        <w:rPr>
          <w:rFonts w:cs="Verdana"/>
          <w:color w:val="000000"/>
        </w:rPr>
        <w:t>opere murarie e assimilate;</w:t>
      </w:r>
    </w:p>
    <w:p w:rsidR="00023B0C" w:rsidRPr="0035261E" w:rsidRDefault="00913086" w:rsidP="00187855">
      <w:pPr>
        <w:pStyle w:val="Paragrafoelenco"/>
        <w:numPr>
          <w:ilvl w:val="0"/>
          <w:numId w:val="8"/>
        </w:numPr>
        <w:spacing w:after="0" w:line="240" w:lineRule="auto"/>
        <w:ind w:left="709" w:hanging="283"/>
        <w:jc w:val="both"/>
      </w:pPr>
      <w:r w:rsidRPr="0035261E">
        <w:rPr>
          <w:rFonts w:cs="Verdana"/>
          <w:color w:val="000000"/>
        </w:rPr>
        <w:t>infrastrutture specifiche;</w:t>
      </w:r>
    </w:p>
    <w:p w:rsidR="00023B0C" w:rsidRPr="0035261E" w:rsidRDefault="00913086" w:rsidP="00187855">
      <w:pPr>
        <w:pStyle w:val="Paragrafoelenco"/>
        <w:numPr>
          <w:ilvl w:val="0"/>
          <w:numId w:val="8"/>
        </w:numPr>
        <w:spacing w:after="0" w:line="240" w:lineRule="auto"/>
        <w:ind w:left="709" w:hanging="283"/>
        <w:jc w:val="both"/>
      </w:pPr>
      <w:r w:rsidRPr="0035261E">
        <w:rPr>
          <w:rFonts w:cs="Verdana"/>
          <w:color w:val="000000"/>
        </w:rPr>
        <w:t xml:space="preserve">acquisto macchinari, impianti e </w:t>
      </w:r>
      <w:r w:rsidRPr="00642A5B">
        <w:rPr>
          <w:rFonts w:cs="Verdana"/>
          <w:color w:val="000000"/>
        </w:rPr>
        <w:t>attrezzature</w:t>
      </w:r>
      <w:r w:rsidR="005E5CDC" w:rsidRPr="00642A5B">
        <w:rPr>
          <w:rFonts w:cs="Verdana"/>
          <w:color w:val="000000"/>
        </w:rPr>
        <w:t xml:space="preserve"> (</w:t>
      </w:r>
      <w:r w:rsidR="00B72250" w:rsidRPr="00642A5B">
        <w:rPr>
          <w:rFonts w:cs="Verdana"/>
          <w:color w:val="000000"/>
        </w:rPr>
        <w:t xml:space="preserve">anche nelle forme </w:t>
      </w:r>
      <w:r w:rsidR="005E5CDC" w:rsidRPr="00642A5B">
        <w:rPr>
          <w:rFonts w:cs="Verdana"/>
          <w:color w:val="000000"/>
        </w:rPr>
        <w:t>di leasing finanziario</w:t>
      </w:r>
      <w:r w:rsidR="00B72250" w:rsidRPr="00642A5B">
        <w:rPr>
          <w:rFonts w:cs="Verdana"/>
          <w:color w:val="000000"/>
        </w:rPr>
        <w:t xml:space="preserve"> purchè sia </w:t>
      </w:r>
      <w:r w:rsidR="005E5CDC" w:rsidRPr="00642A5B">
        <w:rPr>
          <w:rFonts w:cs="Verdana"/>
          <w:color w:val="000000"/>
        </w:rPr>
        <w:t>prev</w:t>
      </w:r>
      <w:r w:rsidR="00B72250" w:rsidRPr="00642A5B">
        <w:rPr>
          <w:rFonts w:cs="Verdana"/>
          <w:color w:val="000000"/>
        </w:rPr>
        <w:t xml:space="preserve">isto </w:t>
      </w:r>
      <w:r w:rsidR="005E5CDC" w:rsidRPr="00642A5B">
        <w:rPr>
          <w:rFonts w:cs="Verdana"/>
          <w:color w:val="000000"/>
        </w:rPr>
        <w:t>l'obbligo per il beneficiario degli aiuti di acquistare l'attivo alla scadenza del contratto)</w:t>
      </w:r>
      <w:r w:rsidRPr="00642A5B">
        <w:rPr>
          <w:rFonts w:cs="Verdana"/>
          <w:color w:val="000000"/>
        </w:rPr>
        <w:t>;</w:t>
      </w:r>
    </w:p>
    <w:p w:rsidR="00913086" w:rsidRPr="0035261E" w:rsidRDefault="00913086" w:rsidP="00187855">
      <w:pPr>
        <w:pStyle w:val="Paragrafoelenco"/>
        <w:numPr>
          <w:ilvl w:val="0"/>
          <w:numId w:val="8"/>
        </w:numPr>
        <w:spacing w:after="0" w:line="240" w:lineRule="auto"/>
        <w:ind w:left="709" w:hanging="283"/>
        <w:jc w:val="both"/>
      </w:pPr>
      <w:r w:rsidRPr="0035261E">
        <w:rPr>
          <w:rFonts w:cs="Verdana"/>
          <w:color w:val="000000"/>
        </w:rPr>
        <w:t>acquisto di programmi informatici commisurati alle esigenze produttive e gestionali dell’impresa.</w:t>
      </w:r>
    </w:p>
    <w:p w:rsidR="00913086" w:rsidRPr="0035261E" w:rsidRDefault="00913086" w:rsidP="00023B0C">
      <w:pPr>
        <w:spacing w:after="0"/>
        <w:ind w:left="284"/>
        <w:contextualSpacing/>
        <w:jc w:val="both"/>
      </w:pPr>
      <w:r w:rsidRPr="0035261E">
        <w:rPr>
          <w:rFonts w:cs="Verdana"/>
          <w:color w:val="000000"/>
        </w:rPr>
        <w:t>b) attivi immateriali</w:t>
      </w:r>
      <w:r w:rsidR="0073199A" w:rsidRPr="0035261E">
        <w:rPr>
          <w:rFonts w:cs="Verdana"/>
          <w:color w:val="000000"/>
        </w:rPr>
        <w:t>, quali a titolo meramente esemplificativo</w:t>
      </w:r>
      <w:r w:rsidRPr="0035261E">
        <w:rPr>
          <w:rFonts w:cs="Verdana"/>
          <w:color w:val="000000"/>
        </w:rPr>
        <w:t>:</w:t>
      </w:r>
    </w:p>
    <w:p w:rsidR="00913086" w:rsidRPr="0035261E" w:rsidRDefault="00913086" w:rsidP="00187855">
      <w:pPr>
        <w:pStyle w:val="Paragrafoelenco"/>
        <w:numPr>
          <w:ilvl w:val="0"/>
          <w:numId w:val="8"/>
        </w:numPr>
        <w:spacing w:after="0" w:line="240" w:lineRule="auto"/>
        <w:ind w:left="709" w:hanging="283"/>
        <w:jc w:val="both"/>
        <w:rPr>
          <w:rFonts w:cs="Verdana"/>
          <w:color w:val="000000"/>
        </w:rPr>
      </w:pPr>
      <w:r w:rsidRPr="0035261E">
        <w:rPr>
          <w:rFonts w:cs="Verdana"/>
          <w:color w:val="000000"/>
        </w:rPr>
        <w:t>acquisto di servizi di consulenza specifica;</w:t>
      </w:r>
    </w:p>
    <w:p w:rsidR="00913086" w:rsidRPr="0035261E" w:rsidRDefault="00913086" w:rsidP="00187855">
      <w:pPr>
        <w:pStyle w:val="Paragrafoelenco"/>
        <w:numPr>
          <w:ilvl w:val="0"/>
          <w:numId w:val="8"/>
        </w:numPr>
        <w:spacing w:after="0" w:line="240" w:lineRule="auto"/>
        <w:ind w:left="709" w:hanging="283"/>
        <w:jc w:val="both"/>
        <w:rPr>
          <w:rFonts w:cs="Verdana"/>
          <w:color w:val="000000"/>
        </w:rPr>
      </w:pPr>
      <w:r w:rsidRPr="0035261E">
        <w:rPr>
          <w:rFonts w:cs="Verdana"/>
          <w:color w:val="000000"/>
        </w:rPr>
        <w:t>costi relativi a:</w:t>
      </w:r>
    </w:p>
    <w:p w:rsidR="00023B0C" w:rsidRPr="0035261E" w:rsidRDefault="00913086" w:rsidP="00187855">
      <w:pPr>
        <w:pStyle w:val="Paragrafoelenco"/>
        <w:numPr>
          <w:ilvl w:val="0"/>
          <w:numId w:val="9"/>
        </w:numPr>
        <w:spacing w:after="0" w:line="240" w:lineRule="auto"/>
        <w:ind w:left="993" w:hanging="284"/>
        <w:jc w:val="both"/>
      </w:pPr>
      <w:r w:rsidRPr="0035261E">
        <w:rPr>
          <w:rFonts w:cs="Verdana"/>
          <w:color w:val="000000"/>
        </w:rPr>
        <w:t>rilascio di certificazione di qualità,</w:t>
      </w:r>
      <w:r w:rsidRPr="0035261E">
        <w:rPr>
          <w:rFonts w:cs="Verdana"/>
          <w:color w:val="FF0000"/>
        </w:rPr>
        <w:t xml:space="preserve"> </w:t>
      </w:r>
      <w:r w:rsidRPr="0035261E">
        <w:rPr>
          <w:rFonts w:cs="Verdana"/>
        </w:rPr>
        <w:t>di qualità</w:t>
      </w:r>
      <w:r w:rsidRPr="0035261E">
        <w:rPr>
          <w:rFonts w:cs="Verdana"/>
          <w:color w:val="000000"/>
        </w:rPr>
        <w:t xml:space="preserve"> etica, sociale e Ambientale;</w:t>
      </w:r>
    </w:p>
    <w:p w:rsidR="00023B0C" w:rsidRPr="0035261E" w:rsidRDefault="00913086" w:rsidP="00187855">
      <w:pPr>
        <w:pStyle w:val="Paragrafoelenco"/>
        <w:numPr>
          <w:ilvl w:val="0"/>
          <w:numId w:val="9"/>
        </w:numPr>
        <w:spacing w:after="0" w:line="240" w:lineRule="auto"/>
        <w:ind w:left="993" w:hanging="284"/>
        <w:jc w:val="both"/>
      </w:pPr>
      <w:r w:rsidRPr="0035261E">
        <w:rPr>
          <w:rFonts w:cs="Verdana"/>
          <w:color w:val="000000"/>
        </w:rPr>
        <w:t>marchi e brevetti;</w:t>
      </w:r>
    </w:p>
    <w:p w:rsidR="00913086" w:rsidRPr="0035261E" w:rsidRDefault="00913086" w:rsidP="00FB1FA9">
      <w:pPr>
        <w:pStyle w:val="Paragrafoelenco"/>
        <w:numPr>
          <w:ilvl w:val="0"/>
          <w:numId w:val="9"/>
        </w:numPr>
        <w:spacing w:after="240" w:line="240" w:lineRule="auto"/>
        <w:ind w:left="993" w:hanging="284"/>
        <w:jc w:val="both"/>
      </w:pPr>
      <w:r w:rsidRPr="0035261E">
        <w:rPr>
          <w:rFonts w:cs="Verdana"/>
          <w:color w:val="000000"/>
        </w:rPr>
        <w:t>avviamento.</w:t>
      </w:r>
    </w:p>
    <w:p w:rsidR="00913086" w:rsidRPr="00913086" w:rsidRDefault="00913086" w:rsidP="00913086">
      <w:pPr>
        <w:pStyle w:val="Titolo2"/>
        <w:spacing w:line="360" w:lineRule="auto"/>
        <w:ind w:left="278"/>
        <w:jc w:val="both"/>
      </w:pPr>
      <w:bookmarkStart w:id="8" w:name="_Toc474858604"/>
      <w:bookmarkStart w:id="9" w:name="_Toc156824447"/>
      <w:bookmarkEnd w:id="8"/>
      <w:r w:rsidRPr="00913086">
        <w:t>VII. Modalità di accesso alla garanzia</w:t>
      </w:r>
      <w:bookmarkEnd w:id="9"/>
    </w:p>
    <w:p w:rsidR="00913086" w:rsidRPr="0035261E" w:rsidRDefault="00913086" w:rsidP="0067260E">
      <w:pPr>
        <w:ind w:left="284"/>
        <w:jc w:val="both"/>
        <w:rPr>
          <w:rFonts w:cs="Verdana"/>
          <w:color w:val="000000"/>
        </w:rPr>
      </w:pPr>
      <w:r w:rsidRPr="0035261E">
        <w:rPr>
          <w:rFonts w:cs="Verdana"/>
          <w:color w:val="000000"/>
        </w:rPr>
        <w:t xml:space="preserve">Le domande di ammissione alla garanzia, da concedere in forma di garanzia di credito alle operazioni indicate nel precedente punto 3, devono essere trasmesse ai Confidi beneficiari dei contributi di cui all’avviso su modulistica </w:t>
      </w:r>
      <w:r w:rsidR="0035261E">
        <w:rPr>
          <w:rFonts w:cs="Verdana"/>
          <w:color w:val="000000"/>
        </w:rPr>
        <w:t xml:space="preserve">conforme a quella </w:t>
      </w:r>
      <w:r w:rsidRPr="0035261E">
        <w:rPr>
          <w:rFonts w:cs="Verdana"/>
          <w:color w:val="000000"/>
        </w:rPr>
        <w:t xml:space="preserve">predisposta </w:t>
      </w:r>
      <w:r w:rsidR="0035261E">
        <w:rPr>
          <w:rFonts w:cs="Verdana"/>
          <w:color w:val="000000"/>
        </w:rPr>
        <w:t>dalla</w:t>
      </w:r>
      <w:r w:rsidRPr="0035261E">
        <w:rPr>
          <w:rFonts w:cs="Verdana"/>
          <w:color w:val="000000"/>
        </w:rPr>
        <w:t xml:space="preserve"> Sezione Competitività.</w:t>
      </w:r>
    </w:p>
    <w:p w:rsidR="00913086" w:rsidRPr="0035261E" w:rsidRDefault="00913086" w:rsidP="00023B0C">
      <w:pPr>
        <w:ind w:left="284"/>
        <w:jc w:val="both"/>
      </w:pPr>
      <w:r w:rsidRPr="0035261E">
        <w:rPr>
          <w:rFonts w:cs="Verdana"/>
          <w:color w:val="000000"/>
        </w:rPr>
        <w:lastRenderedPageBreak/>
        <w:t>La modulistica di cui al paragrafo precedente è pubblicata sul Bollettino Ufficiale della Regione unitamente all’elenco dei Confidi beneficiari dei contributi</w:t>
      </w:r>
      <w:r w:rsidR="0035261E">
        <w:rPr>
          <w:rFonts w:cs="Verdana"/>
          <w:color w:val="000000"/>
        </w:rPr>
        <w:t xml:space="preserve"> e sul sito </w:t>
      </w:r>
      <w:r w:rsidR="0035261E" w:rsidRPr="000C698F">
        <w:t>egov.regione.puglia.it</w:t>
      </w:r>
      <w:r w:rsidRPr="0035261E">
        <w:rPr>
          <w:rFonts w:cs="Verdana"/>
          <w:color w:val="000000"/>
        </w:rPr>
        <w:t>.</w:t>
      </w:r>
    </w:p>
    <w:p w:rsidR="00023B0C" w:rsidRPr="0035261E" w:rsidRDefault="00913086" w:rsidP="00023B0C">
      <w:pPr>
        <w:ind w:left="284"/>
        <w:jc w:val="both"/>
        <w:rPr>
          <w:rFonts w:cs="Verdana"/>
          <w:color w:val="000000"/>
        </w:rPr>
      </w:pPr>
      <w:r w:rsidRPr="0035261E">
        <w:rPr>
          <w:rFonts w:cs="Verdana"/>
          <w:color w:val="000000"/>
        </w:rPr>
        <w:t xml:space="preserve">Le domande di ammissione possono essere presentate ai Confidi beneficiari a partire dalla pubblicazione della documentazione di cui al paragrafo precedente. </w:t>
      </w:r>
    </w:p>
    <w:p w:rsidR="00913086" w:rsidRPr="0035261E" w:rsidRDefault="00913086" w:rsidP="00023B0C">
      <w:pPr>
        <w:ind w:left="284"/>
        <w:jc w:val="both"/>
      </w:pPr>
      <w:r w:rsidRPr="0035261E">
        <w:rPr>
          <w:rFonts w:cs="Verdana"/>
          <w:color w:val="000000"/>
        </w:rPr>
        <w:t>Le operazioni sottese alle domande devono riferirsi ad operazioni avviate dopo la pubblicazione del presente Avviso.</w:t>
      </w:r>
    </w:p>
    <w:p w:rsidR="00913086" w:rsidRPr="00792E59" w:rsidRDefault="00913086" w:rsidP="00913086">
      <w:pPr>
        <w:pStyle w:val="Titolo2"/>
        <w:spacing w:line="360" w:lineRule="auto"/>
        <w:ind w:left="278"/>
        <w:jc w:val="both"/>
      </w:pPr>
      <w:bookmarkStart w:id="10" w:name="_Toc156824448"/>
      <w:r w:rsidRPr="00913086">
        <w:t>VIII. Valutazione delle domande</w:t>
      </w:r>
      <w:bookmarkEnd w:id="10"/>
    </w:p>
    <w:p w:rsidR="00913086" w:rsidRPr="0035261E" w:rsidRDefault="00913086" w:rsidP="0035261E">
      <w:pPr>
        <w:ind w:left="284"/>
        <w:jc w:val="both"/>
        <w:rPr>
          <w:rFonts w:cs="Verdana"/>
          <w:color w:val="000000"/>
        </w:rPr>
      </w:pPr>
      <w:r w:rsidRPr="0035261E">
        <w:rPr>
          <w:rFonts w:cs="Verdana"/>
          <w:color w:val="000000"/>
        </w:rPr>
        <w:t xml:space="preserve">I confidi provvedono ad inserire le informazioni relative al beneficiario all’interno del gestionale </w:t>
      </w:r>
      <w:r w:rsidR="0035261E">
        <w:rPr>
          <w:rFonts w:cs="Verdana"/>
          <w:color w:val="000000"/>
        </w:rPr>
        <w:t xml:space="preserve">e della modulistica </w:t>
      </w:r>
      <w:r w:rsidRPr="0035261E">
        <w:rPr>
          <w:rFonts w:cs="Verdana"/>
          <w:color w:val="000000"/>
        </w:rPr>
        <w:t>predispost</w:t>
      </w:r>
      <w:r w:rsidR="0035261E">
        <w:rPr>
          <w:rFonts w:cs="Verdana"/>
          <w:color w:val="000000"/>
        </w:rPr>
        <w:t>a</w:t>
      </w:r>
      <w:r w:rsidRPr="0035261E">
        <w:rPr>
          <w:rFonts w:cs="Verdana"/>
          <w:color w:val="000000"/>
        </w:rPr>
        <w:t xml:space="preserve"> dalla Regione.</w:t>
      </w:r>
    </w:p>
    <w:p w:rsidR="00913086" w:rsidRPr="0035261E" w:rsidRDefault="00913086" w:rsidP="0035261E">
      <w:pPr>
        <w:ind w:left="284"/>
        <w:jc w:val="both"/>
        <w:rPr>
          <w:rFonts w:cs="Verdana"/>
          <w:color w:val="000000"/>
        </w:rPr>
      </w:pPr>
      <w:r w:rsidRPr="0035261E">
        <w:rPr>
          <w:rFonts w:cs="Verdana"/>
          <w:color w:val="000000"/>
        </w:rPr>
        <w:t>L’esame della domanda da parte dei Confidi è effettuata secondo l’ordine di arrivo.</w:t>
      </w:r>
    </w:p>
    <w:p w:rsidR="00913086" w:rsidRPr="0035261E" w:rsidRDefault="00913086" w:rsidP="00023B0C">
      <w:pPr>
        <w:ind w:left="284"/>
        <w:jc w:val="both"/>
        <w:rPr>
          <w:rFonts w:cs="Verdana"/>
          <w:color w:val="000000"/>
        </w:rPr>
      </w:pPr>
      <w:r w:rsidRPr="0035261E">
        <w:rPr>
          <w:rFonts w:cs="Verdana"/>
          <w:color w:val="000000"/>
        </w:rPr>
        <w:t>I Confidi possono richiedere ogni ulteriore documento o chiarimento ritenuto necessario ad integrazione della documentazione ricevuta.</w:t>
      </w:r>
    </w:p>
    <w:p w:rsidR="00913086" w:rsidRPr="0035261E" w:rsidRDefault="00913086" w:rsidP="00023B0C">
      <w:pPr>
        <w:ind w:left="567" w:hanging="283"/>
        <w:jc w:val="both"/>
      </w:pPr>
      <w:r w:rsidRPr="0035261E">
        <w:rPr>
          <w:rFonts w:cs="Verdana"/>
          <w:color w:val="000000"/>
        </w:rPr>
        <w:t>L’analisi tecnica della domanda ai fini dell’ammissione dovrà tener conto almeno dei seguenti parametri:</w:t>
      </w:r>
    </w:p>
    <w:p w:rsidR="00913086" w:rsidRPr="00434747" w:rsidRDefault="00913086" w:rsidP="00187855">
      <w:pPr>
        <w:pStyle w:val="Paragrafoelenco"/>
        <w:numPr>
          <w:ilvl w:val="0"/>
          <w:numId w:val="3"/>
        </w:numPr>
        <w:spacing w:after="0" w:line="240" w:lineRule="auto"/>
        <w:ind w:left="567" w:hanging="283"/>
        <w:jc w:val="both"/>
        <w:rPr>
          <w:rFonts w:cs="Verdana"/>
          <w:color w:val="000000"/>
        </w:rPr>
      </w:pPr>
      <w:r w:rsidRPr="0035261E">
        <w:rPr>
          <w:rFonts w:cs="Verdana"/>
          <w:color w:val="000000"/>
        </w:rPr>
        <w:t>idoneità finanziaria dell’impresa, in particolare della sua capacità di generare flussi di cassa idonei al pagamento degli interessi ed il rimborso del capitale a scadenza;</w:t>
      </w:r>
    </w:p>
    <w:p w:rsidR="00913086" w:rsidRPr="00434747" w:rsidRDefault="00913086" w:rsidP="00187855">
      <w:pPr>
        <w:pStyle w:val="Paragrafoelenco"/>
        <w:numPr>
          <w:ilvl w:val="0"/>
          <w:numId w:val="3"/>
        </w:numPr>
        <w:spacing w:after="0" w:line="240" w:lineRule="auto"/>
        <w:ind w:left="567" w:hanging="283"/>
        <w:jc w:val="both"/>
        <w:rPr>
          <w:rFonts w:cs="Verdana"/>
          <w:color w:val="000000"/>
        </w:rPr>
      </w:pPr>
      <w:r w:rsidRPr="0035261E">
        <w:rPr>
          <w:rFonts w:cs="Verdana"/>
          <w:color w:val="000000"/>
        </w:rPr>
        <w:t>idoneità della struttura dell’impresa e del suo potenziale flusso finanziario, calcolati prendendo a base l’ultimo bilancio approvato</w:t>
      </w:r>
      <w:r w:rsidR="001B00F3" w:rsidRPr="0035261E">
        <w:rPr>
          <w:rFonts w:cs="Verdana"/>
          <w:color w:val="000000"/>
        </w:rPr>
        <w:t>, ove disponibile</w:t>
      </w:r>
      <w:r w:rsidRPr="0035261E">
        <w:rPr>
          <w:rFonts w:cs="Verdana"/>
          <w:color w:val="000000"/>
        </w:rPr>
        <w:t>;</w:t>
      </w:r>
    </w:p>
    <w:p w:rsidR="0035261E" w:rsidRPr="00434747" w:rsidRDefault="00913086" w:rsidP="0035261E">
      <w:pPr>
        <w:pStyle w:val="Paragrafoelenco"/>
        <w:numPr>
          <w:ilvl w:val="0"/>
          <w:numId w:val="3"/>
        </w:numPr>
        <w:spacing w:after="0" w:line="240" w:lineRule="auto"/>
        <w:ind w:left="567" w:hanging="283"/>
        <w:jc w:val="both"/>
        <w:rPr>
          <w:rFonts w:cs="Verdana"/>
          <w:color w:val="000000"/>
        </w:rPr>
      </w:pPr>
      <w:r w:rsidRPr="0035261E">
        <w:rPr>
          <w:rFonts w:cs="Verdana"/>
          <w:color w:val="000000"/>
        </w:rPr>
        <w:t>idoneità tecnica dell’operazione proposta e dello strumento da attivare in rapporto agli obiettivi d’impresa.</w:t>
      </w:r>
    </w:p>
    <w:p w:rsidR="0035261E" w:rsidRPr="00434747" w:rsidRDefault="0035261E" w:rsidP="0035261E">
      <w:pPr>
        <w:pStyle w:val="Paragrafoelenco"/>
        <w:numPr>
          <w:ilvl w:val="0"/>
          <w:numId w:val="3"/>
        </w:numPr>
        <w:spacing w:after="0" w:line="240" w:lineRule="auto"/>
        <w:ind w:left="567" w:hanging="283"/>
        <w:jc w:val="both"/>
        <w:rPr>
          <w:rFonts w:cs="Verdana"/>
          <w:color w:val="000000"/>
        </w:rPr>
      </w:pPr>
      <w:r w:rsidRPr="00434747">
        <w:rPr>
          <w:rFonts w:cs="Verdana"/>
          <w:color w:val="000000"/>
        </w:rPr>
        <w:t xml:space="preserve">verificare la conformità del finanziamento sottostante la garanzia alle norme comunitarie e nazionali, in particolare quelle previste dal regime di aiuti applicato, nonché la sussistenza dei requisiti di accesso alle agevolazioni da parte dei soggetti che presentano istanza di accesso al Fondo; </w:t>
      </w:r>
    </w:p>
    <w:p w:rsidR="0035261E" w:rsidRPr="0035261E" w:rsidRDefault="0035261E" w:rsidP="00023B0C">
      <w:pPr>
        <w:pStyle w:val="Paragrafoelenco"/>
        <w:numPr>
          <w:ilvl w:val="0"/>
          <w:numId w:val="3"/>
        </w:numPr>
        <w:spacing w:after="0" w:line="240" w:lineRule="auto"/>
        <w:ind w:left="567" w:hanging="283"/>
        <w:jc w:val="both"/>
        <w:rPr>
          <w:rFonts w:cs="Verdana"/>
          <w:color w:val="000000"/>
        </w:rPr>
      </w:pPr>
      <w:r w:rsidRPr="00434747">
        <w:rPr>
          <w:rFonts w:cs="Verdana"/>
          <w:color w:val="000000"/>
        </w:rPr>
        <w:t>verificare che lo scopo previsto nel modulo di istanza di accesso all’agevolazione e indicato nel Piano d’Impresa di cui all’art. 7 dell’Avviso presentati dai destinatari finali sia coerente con le regole specifiche di ammissibilit</w:t>
      </w:r>
      <w:r w:rsidRPr="00434747">
        <w:rPr>
          <w:rFonts w:cs="Verdana" w:hint="eastAsia"/>
          <w:color w:val="000000"/>
        </w:rPr>
        <w:t>à</w:t>
      </w:r>
      <w:r w:rsidRPr="00434747">
        <w:rPr>
          <w:rFonts w:cs="Verdana"/>
          <w:color w:val="000000"/>
        </w:rPr>
        <w:t xml:space="preserve"> previste dal Fondo e dal P. R. PUGLIA 2021-2027.</w:t>
      </w:r>
    </w:p>
    <w:p w:rsidR="0035261E" w:rsidRDefault="0035261E" w:rsidP="00023B0C">
      <w:pPr>
        <w:pStyle w:val="Paragrafoelenco"/>
        <w:ind w:left="567" w:hanging="283"/>
        <w:jc w:val="both"/>
        <w:rPr>
          <w:rFonts w:cs="Verdana"/>
          <w:color w:val="000000"/>
        </w:rPr>
      </w:pPr>
    </w:p>
    <w:p w:rsidR="00913086" w:rsidRDefault="00913086" w:rsidP="00023B0C">
      <w:pPr>
        <w:pStyle w:val="Paragrafoelenco"/>
        <w:ind w:left="567" w:hanging="283"/>
        <w:jc w:val="both"/>
        <w:rPr>
          <w:rFonts w:cs="Verdana"/>
          <w:color w:val="000000"/>
        </w:rPr>
      </w:pPr>
      <w:r w:rsidRPr="0035261E">
        <w:rPr>
          <w:rFonts w:cs="Verdana"/>
          <w:color w:val="000000"/>
        </w:rPr>
        <w:t>I confidi provvedono, se necessario, alla verifiche antimafia.</w:t>
      </w:r>
    </w:p>
    <w:p w:rsidR="00434747" w:rsidRDefault="00434747" w:rsidP="00434747">
      <w:pPr>
        <w:pStyle w:val="Paragrafoelenco"/>
        <w:ind w:left="284"/>
        <w:jc w:val="both"/>
        <w:rPr>
          <w:rFonts w:cs="Verdana"/>
          <w:color w:val="000000"/>
        </w:rPr>
      </w:pPr>
      <w:r w:rsidRPr="0035261E">
        <w:rPr>
          <w:rFonts w:cs="Verdana"/>
          <w:color w:val="000000"/>
        </w:rPr>
        <w:t>I confidi provvedono, se necessario, a</w:t>
      </w:r>
      <w:r>
        <w:rPr>
          <w:rFonts w:cs="Verdana"/>
          <w:color w:val="000000"/>
        </w:rPr>
        <w:t>d acquisire la d</w:t>
      </w:r>
      <w:r w:rsidRPr="00434747">
        <w:rPr>
          <w:rFonts w:cs="Verdana"/>
          <w:color w:val="000000"/>
        </w:rPr>
        <w:t>ichiarazione attestante il rispetto del principio di non arrecare un danno significativo di cui all’art.17 del Reg. (UE) 2020/852, in applicazione dell’art. 9 del Reg. (UE) 2021/1060 (DNSH) e del principio immunizzazione dagli effetti del clima di cui agli artt. 2 par. 42 e 73 par. 2 lett. J) del Reg. UE 2021/1060</w:t>
      </w:r>
      <w:r>
        <w:rPr>
          <w:rFonts w:cs="Verdana"/>
          <w:color w:val="000000"/>
        </w:rPr>
        <w:t xml:space="preserve"> (All. 1/i dell’Avviso).</w:t>
      </w:r>
    </w:p>
    <w:p w:rsidR="00913086" w:rsidRPr="0035261E" w:rsidRDefault="00913086" w:rsidP="00023B0C">
      <w:pPr>
        <w:ind w:left="284"/>
        <w:jc w:val="both"/>
      </w:pPr>
      <w:r w:rsidRPr="0035261E">
        <w:rPr>
          <w:rFonts w:cs="Verdana"/>
          <w:color w:val="000000"/>
        </w:rPr>
        <w:t>Ciascun Confidi invierà specifica comunicazione al richiedente sull’esito della domanda presentata e, nel caso di esito positivo, provvederà ad inoltrare all’istituto finanziatore la domanda di finanziamento compilata dall’impresa, completa della delibera o di altro idoneo atto dal quale risulti la concessione della garanzia a valere sul contributo regionale di cui al presente avviso.</w:t>
      </w:r>
    </w:p>
    <w:p w:rsidR="00913086" w:rsidRPr="0035261E" w:rsidRDefault="00913086" w:rsidP="00023B0C">
      <w:pPr>
        <w:ind w:left="284"/>
        <w:jc w:val="both"/>
        <w:rPr>
          <w:rFonts w:cs="Verdana"/>
          <w:color w:val="000000"/>
        </w:rPr>
      </w:pPr>
      <w:r w:rsidRPr="0035261E">
        <w:rPr>
          <w:rFonts w:cs="Verdana"/>
          <w:color w:val="000000"/>
        </w:rPr>
        <w:t>L’ammissione a garanzia da parte del Confidi non vincola l’istituto finanziatore alla concessione del cofinanziamento e, pertanto, l’effettiva ammissione a garanzia è subordinata all’ammissione a finanziamento e alla sua erogazione.</w:t>
      </w:r>
    </w:p>
    <w:p w:rsidR="00913086" w:rsidRPr="0035261E" w:rsidRDefault="00913086" w:rsidP="00023B0C">
      <w:pPr>
        <w:autoSpaceDE w:val="0"/>
        <w:autoSpaceDN w:val="0"/>
        <w:adjustRightInd w:val="0"/>
        <w:ind w:left="284"/>
        <w:jc w:val="both"/>
        <w:rPr>
          <w:rFonts w:cs="TimesNewRomanPSMT"/>
        </w:rPr>
      </w:pPr>
      <w:r w:rsidRPr="0035261E">
        <w:rPr>
          <w:rFonts w:cs="Verdana"/>
          <w:color w:val="000000"/>
        </w:rPr>
        <w:t xml:space="preserve">I confidi provvedono all’inserimento del beneficiario all’interno del registro Nazionale degli Aiuti di Stato </w:t>
      </w:r>
      <w:r w:rsidRPr="0035261E">
        <w:rPr>
          <w:rFonts w:cs="TimesNewRomanPSMT"/>
        </w:rPr>
        <w:t>di cui all’articolo 52 della legge 24 dicembre 2012, n. 234 e successive modifiche e integrazioni</w:t>
      </w:r>
      <w:r w:rsidRPr="0035261E">
        <w:rPr>
          <w:rFonts w:cs="Verdana"/>
          <w:color w:val="000000"/>
        </w:rPr>
        <w:t>, ad avvenuta attivazione dello stesso.</w:t>
      </w:r>
    </w:p>
    <w:p w:rsidR="00913086" w:rsidRPr="0035261E" w:rsidRDefault="00913086" w:rsidP="00AB3BAD">
      <w:pPr>
        <w:ind w:left="284"/>
        <w:jc w:val="both"/>
        <w:rPr>
          <w:rFonts w:cs="Verdana"/>
          <w:color w:val="000000"/>
        </w:rPr>
      </w:pPr>
      <w:r w:rsidRPr="0035261E">
        <w:rPr>
          <w:rFonts w:cs="Verdana"/>
          <w:color w:val="000000"/>
        </w:rPr>
        <w:t xml:space="preserve">I Confidi sono tenuti a dare </w:t>
      </w:r>
      <w:r w:rsidR="00AB3BAD" w:rsidRPr="0035261E">
        <w:rPr>
          <w:rFonts w:cs="Verdana"/>
          <w:color w:val="000000"/>
        </w:rPr>
        <w:t>trimestralmente</w:t>
      </w:r>
      <w:r w:rsidRPr="0035261E">
        <w:rPr>
          <w:rFonts w:cs="Verdana"/>
          <w:color w:val="000000"/>
        </w:rPr>
        <w:t xml:space="preserve"> comunicazione al Dipartimento Sviluppo Economico delle domande di finanziamento in favore delle quali è stata ammessa la concessione di garanzia a </w:t>
      </w:r>
      <w:r w:rsidR="00AB3BAD" w:rsidRPr="0035261E">
        <w:rPr>
          <w:rFonts w:cs="Verdana"/>
          <w:color w:val="000000"/>
        </w:rPr>
        <w:t xml:space="preserve">valere sul contributo regionale e </w:t>
      </w:r>
      <w:r w:rsidR="00AB3BAD" w:rsidRPr="0035261E">
        <w:rPr>
          <w:rFonts w:cs="Verdana"/>
          <w:color w:val="000000"/>
        </w:rPr>
        <w:lastRenderedPageBreak/>
        <w:t>di fornire le informazioni necessarie a garantire la conformità all'articolo 42 del Regolamento Europeo 1060/2021</w:t>
      </w:r>
      <w:r w:rsidR="008E7FFA" w:rsidRPr="0035261E">
        <w:rPr>
          <w:rFonts w:cs="Verdana"/>
          <w:color w:val="000000"/>
        </w:rPr>
        <w:t>.</w:t>
      </w:r>
    </w:p>
    <w:p w:rsidR="00913086" w:rsidRPr="00792E59" w:rsidRDefault="00913086" w:rsidP="00913086">
      <w:pPr>
        <w:pStyle w:val="Titolo2"/>
        <w:spacing w:line="360" w:lineRule="auto"/>
        <w:ind w:left="278"/>
        <w:jc w:val="both"/>
      </w:pPr>
      <w:bookmarkStart w:id="11" w:name="_Toc156824449"/>
      <w:r w:rsidRPr="00913086">
        <w:t>IX. Verifiche, controllo e monitoraggio</w:t>
      </w:r>
      <w:bookmarkEnd w:id="11"/>
    </w:p>
    <w:p w:rsidR="00913086" w:rsidRPr="00434747" w:rsidRDefault="00913086" w:rsidP="00023B0C">
      <w:pPr>
        <w:ind w:left="284"/>
        <w:jc w:val="both"/>
        <w:rPr>
          <w:rFonts w:cs="Verdana"/>
          <w:color w:val="000000"/>
        </w:rPr>
      </w:pPr>
      <w:r w:rsidRPr="00434747">
        <w:rPr>
          <w:rFonts w:cs="Verdana"/>
          <w:color w:val="000000"/>
        </w:rPr>
        <w:t>Dalla data di accoglimento della domanda e per tutto il periodo di concessione della garanzia, i Confidi sono tenuti a verificare il rispetto della normativa che regola gli aiuti di cui al presente avviso, il mantenimento dei requisiti e delle condizioni per la fruizione delle agevolazioni.</w:t>
      </w:r>
    </w:p>
    <w:p w:rsidR="00913086" w:rsidRPr="00434747" w:rsidRDefault="00913086" w:rsidP="00023B0C">
      <w:pPr>
        <w:ind w:left="284"/>
        <w:jc w:val="both"/>
        <w:rPr>
          <w:rFonts w:cs="Verdana"/>
          <w:color w:val="000000"/>
        </w:rPr>
      </w:pPr>
      <w:r w:rsidRPr="00434747">
        <w:rPr>
          <w:rFonts w:cs="Verdana"/>
          <w:color w:val="000000"/>
        </w:rPr>
        <w:t>Il Confidi dovrà inoltre assicurare le attività di monitoraggio dell’utilizzazione del contributo ricevuto secondo le direttive al Dipartimento Sviluppo Economico – Sezione Competitività, Servizio Infrastrutture Aree industriali e produttive e Strumenti finanziari.</w:t>
      </w:r>
    </w:p>
    <w:p w:rsidR="00913086" w:rsidRPr="00434747" w:rsidRDefault="00913086" w:rsidP="00023B0C">
      <w:pPr>
        <w:ind w:left="284"/>
        <w:jc w:val="both"/>
        <w:rPr>
          <w:rFonts w:cs="Verdana"/>
          <w:color w:val="000000"/>
        </w:rPr>
      </w:pPr>
      <w:r w:rsidRPr="00434747">
        <w:rPr>
          <w:rFonts w:cs="Verdana"/>
          <w:color w:val="000000"/>
        </w:rPr>
        <w:t>La medesima Sezione potrà disporre in qualsiasi momento le ispezioni e le verifiche, anche a campione, che riterrà opportune.</w:t>
      </w:r>
    </w:p>
    <w:p w:rsidR="00663AC3" w:rsidRPr="00434747" w:rsidRDefault="00913086" w:rsidP="00663AC3">
      <w:pPr>
        <w:ind w:left="284"/>
        <w:jc w:val="both"/>
        <w:rPr>
          <w:rFonts w:cs="Verdana"/>
          <w:color w:val="000000"/>
        </w:rPr>
      </w:pPr>
      <w:r w:rsidRPr="00434747">
        <w:rPr>
          <w:rFonts w:cs="Verdana"/>
          <w:color w:val="000000"/>
        </w:rPr>
        <w:t>È fatto obbligo all’impresa beneficiaria delle agevolazioni di consentire a funzionari di organismi e/o servizi, comunitari, nazionali e regionali, preposti alle funzioni di controllo e di audit, controlli in loco finalizzati alla verifica della correttezza delle operazioni agevolate.</w:t>
      </w:r>
      <w:r w:rsidR="00663AC3" w:rsidRPr="00434747">
        <w:rPr>
          <w:rFonts w:cs="Verdana"/>
          <w:color w:val="000000"/>
        </w:rPr>
        <w:t xml:space="preserve"> Le modalità per l’esecuzione dei controlli nonché le cause di revoca dell’agevolazioni ai beneficiari sono contenute nell</w:t>
      </w:r>
      <w:r w:rsidR="008E7FFA" w:rsidRPr="00434747">
        <w:rPr>
          <w:rFonts w:cs="Verdana"/>
          <w:color w:val="000000"/>
        </w:rPr>
        <w:t>’Allegato D – Accordo di Finanziamento - Modelli per il controllo dello strumento</w:t>
      </w:r>
      <w:r w:rsidR="00663AC3" w:rsidRPr="00434747">
        <w:rPr>
          <w:rFonts w:cs="Verdana"/>
          <w:color w:val="000000"/>
        </w:rPr>
        <w:t xml:space="preserve">. Il monitoraggio dello Fondo avviene nel rispetto del SI.GE.CO. tramite il sistema elettronico messo a disposizione dalla Regione Puglia per la registrazione e la conservazione dei dati a fini di sorveglianza, valutazione, gestione finanziaria, verifiche e audit. </w:t>
      </w:r>
    </w:p>
    <w:p w:rsidR="00A44E94" w:rsidRPr="00434747" w:rsidRDefault="00A44E94" w:rsidP="00A44E94">
      <w:pPr>
        <w:ind w:left="284"/>
        <w:jc w:val="both"/>
        <w:rPr>
          <w:rFonts w:cs="Verdana"/>
          <w:color w:val="000000"/>
        </w:rPr>
      </w:pPr>
      <w:r w:rsidRPr="00434747">
        <w:rPr>
          <w:rFonts w:cs="Verdana"/>
          <w:color w:val="000000"/>
        </w:rPr>
        <w:t>Il Confidi è tenuto a rispettare le prescrizioni in materia di audit, quali l</w:t>
      </w:r>
      <w:r w:rsidR="00663AC3" w:rsidRPr="00434747">
        <w:rPr>
          <w:rFonts w:cs="Verdana"/>
          <w:color w:val="000000"/>
        </w:rPr>
        <w:t>e prescrizioni minime per la doc</w:t>
      </w:r>
      <w:r w:rsidRPr="00434747">
        <w:rPr>
          <w:rFonts w:cs="Verdana"/>
          <w:color w:val="000000"/>
        </w:rPr>
        <w:t>umentazione da conservare a livello dello strumento finanziario in conformità dell'articolo 82, e le prescrizioni di tenuta di una contabilità separata, comprese le disposizioni e le prescrizioni riguardanti l'accesso ai documenti da parte delle autorità di audit degli Stati membri, dei revisori della Commissione e della Corte dei conti europea, per garantire una pista di controllo chiara.</w:t>
      </w:r>
    </w:p>
    <w:p w:rsidR="005B5D95" w:rsidRPr="00792E59" w:rsidRDefault="005B5D95" w:rsidP="005B5D95">
      <w:pPr>
        <w:pStyle w:val="Titolo2"/>
        <w:spacing w:line="360" w:lineRule="auto"/>
        <w:ind w:left="278"/>
        <w:jc w:val="both"/>
      </w:pPr>
      <w:bookmarkStart w:id="12" w:name="_Toc156824450"/>
      <w:r w:rsidRPr="00913086">
        <w:t xml:space="preserve">X. </w:t>
      </w:r>
      <w:r>
        <w:t>Cessazione e revoca</w:t>
      </w:r>
      <w:bookmarkEnd w:id="12"/>
    </w:p>
    <w:p w:rsidR="005B5D95" w:rsidRPr="00434747" w:rsidRDefault="005B5D95" w:rsidP="005B5D95">
      <w:pPr>
        <w:ind w:left="284"/>
        <w:jc w:val="both"/>
        <w:rPr>
          <w:rFonts w:cs="Verdana"/>
          <w:color w:val="000000"/>
        </w:rPr>
      </w:pPr>
      <w:r w:rsidRPr="00434747">
        <w:rPr>
          <w:rFonts w:cs="Verdana"/>
          <w:color w:val="000000"/>
        </w:rPr>
        <w:t>L’agevolazione concessa perde ogni suo effetto nel caso di estinzione anticipata del prestito.</w:t>
      </w:r>
    </w:p>
    <w:p w:rsidR="005B5D95" w:rsidRPr="00434747" w:rsidRDefault="005B5D95" w:rsidP="005B5D95">
      <w:pPr>
        <w:ind w:left="284"/>
        <w:jc w:val="both"/>
        <w:rPr>
          <w:rFonts w:cs="Verdana"/>
          <w:color w:val="000000"/>
        </w:rPr>
      </w:pPr>
      <w:r w:rsidRPr="00434747">
        <w:rPr>
          <w:rFonts w:cs="Verdana"/>
          <w:color w:val="000000"/>
        </w:rPr>
        <w:t>La garanzia di credito cessa a partire dalla data in cui si è perfezionata l’estinzione.</w:t>
      </w:r>
    </w:p>
    <w:p w:rsidR="005B5D95" w:rsidRPr="00434747" w:rsidRDefault="005B5D95" w:rsidP="00434747">
      <w:pPr>
        <w:ind w:left="284"/>
        <w:jc w:val="both"/>
        <w:rPr>
          <w:rFonts w:cs="Verdana"/>
          <w:color w:val="000000"/>
        </w:rPr>
      </w:pPr>
      <w:r w:rsidRPr="00434747">
        <w:rPr>
          <w:rFonts w:cs="Verdana"/>
          <w:color w:val="000000"/>
        </w:rPr>
        <w:t>La garanz</w:t>
      </w:r>
      <w:r w:rsidR="00434747" w:rsidRPr="00434747">
        <w:rPr>
          <w:rFonts w:cs="Verdana"/>
          <w:color w:val="000000"/>
        </w:rPr>
        <w:t xml:space="preserve">ia di credito è revocata quando </w:t>
      </w:r>
      <w:r w:rsidRPr="00434747">
        <w:rPr>
          <w:rFonts w:cs="Verdana"/>
          <w:color w:val="000000"/>
        </w:rPr>
        <w:t>l’agevolazione è stata concessa sulla base di dati, notizie o dichiarazioni inesatte o reticenti.</w:t>
      </w:r>
    </w:p>
    <w:p w:rsidR="005B5D95" w:rsidRPr="00434747" w:rsidRDefault="005B5D95" w:rsidP="00A60726">
      <w:pPr>
        <w:ind w:left="284"/>
        <w:jc w:val="both"/>
        <w:rPr>
          <w:rFonts w:cs="Verdana"/>
          <w:color w:val="000000"/>
        </w:rPr>
      </w:pPr>
      <w:r w:rsidRPr="00434747">
        <w:rPr>
          <w:rFonts w:cs="Verdana"/>
          <w:color w:val="000000"/>
        </w:rPr>
        <w:t xml:space="preserve">I consorzi fidi sono tenuti a comunicare tempestivamente al </w:t>
      </w:r>
      <w:bookmarkStart w:id="13" w:name="_GoBack"/>
      <w:bookmarkEnd w:id="13"/>
      <w:r w:rsidRPr="00434747">
        <w:rPr>
          <w:rFonts w:cs="Verdana"/>
          <w:color w:val="000000"/>
        </w:rPr>
        <w:t>Dipartimento Sviluppo Economico,– Sezione Competitività, Servizio Infrastrutture Aree industriali e produttive e Strumenti finanziari, le cessazioni e le revoche disposte a norma del presente articolo.</w:t>
      </w:r>
    </w:p>
    <w:sectPr w:rsidR="005B5D95" w:rsidRPr="00434747" w:rsidSect="008861AD">
      <w:headerReference w:type="default" r:id="rId9"/>
      <w:footerReference w:type="even" r:id="rId10"/>
      <w:footerReference w:type="default" r:id="rId11"/>
      <w:headerReference w:type="first" r:id="rId12"/>
      <w:footerReference w:type="first" r:id="rId13"/>
      <w:pgSz w:w="11900" w:h="16840"/>
      <w:pgMar w:top="1134" w:right="985" w:bottom="1137" w:left="569" w:header="720" w:footer="56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D77" w:rsidRDefault="00F61D77">
      <w:pPr>
        <w:spacing w:after="0" w:line="240" w:lineRule="auto"/>
      </w:pPr>
      <w:r>
        <w:separator/>
      </w:r>
    </w:p>
  </w:endnote>
  <w:endnote w:type="continuationSeparator" w:id="0">
    <w:p w:rsidR="00F61D77" w:rsidRDefault="00F61D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NewRomanPSMT">
    <w:altName w:val="MS Goth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8A" w:rsidRDefault="00501294">
    <w:pPr>
      <w:spacing w:after="0"/>
      <w:ind w:left="283"/>
    </w:pPr>
    <w:r>
      <w:rPr>
        <w:noProof/>
      </w:rPr>
      <w:pict>
        <v:group id="Group 83991" o:spid="_x0000_s2052" style="position:absolute;left:0;text-align:left;margin-left:272.65pt;margin-top:785.05pt;width:35.65pt;height:31.2pt;z-index:251655680;mso-position-horizontal-relative:page;mso-position-vertical-relative:page" coordsize="452628,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TNbwUAAPIUAAAOAAAAZHJzL2Uyb0RvYy54bWzsWNtu4zYQfS/QfyD0WMBrUTdLRpxFEsdB&#10;gbRddN0PoCXaEiqJKiXHzhb99w6HkkzFcdxkt8UW2Dw4lDkcDs/MHB7r4v2+yMkDl3UmyplF39kW&#10;4WUskqzczKzflotRaJG6YWXCclHymfXIa+v95fffXeyqKXdEKvKESwJOynq6q2ZW2jTVdDyu45QX&#10;rH4nKl7C5FrIgjXwKDfjRLIdeC/ysWPbwXgnZFJJEfO6hm/netK6RP/rNY+bX9brmjckn1kQW4Of&#10;Ej9X6nN8ecGmG8mqNIvbMNgboihYVsKmvas5axjZyuzIVZHFUtRi3byLRTEW63UWczwDnIbaT05z&#10;J8W2wrNsprtN1cME0D7B6c1u458fPkiSJTPLsUjJCkgR7kpCN4qogmdXbaZgdSerj9UHqc8Iw3sR&#10;/17D9PjpvHreaGOy2v0kEnDJto1AePZrWSgXcHCyxyw89lng+4bE8KXnOxPft0gMU24UOF6bpTiF&#10;VB6titPbw7rAgXIbrhuzqd4UA20DU6eCeqsPkNafB+nHlFUcM1UrsFpI3Q5SnEZIHQ0pWnV41iaY&#10;xoyKsQbM3wzjS3CwabytmzsuMB/s4b5udC8kMMIsJ209LKFv1kUObfHDmDjOxJ4EZEcgS8p9u6Yz&#10;pYapTVJi5m/TO4RS6x1qPycdAoS9KY1C6pz26hmmZ8KE6uq96hBPxhoYpvbJMCeG1ZkwoUL7vc+E&#10;GRmmp89NzfzYJLDhjwS+7wZH2Rmm5yVLM0Uv+zQz9LKlmaCXLc38nAadDnNzqtqomZwz5UbN7DxT&#10;GcAmm65BWNr1TLwv26aBEWHq6ltCVlQXVaJWlKV6COhsiYwKTsBOzRrmdGAO8CtzV2XwWXNnYA7I&#10;KnP/pLk7MAfclPnkpLk3MAdMlHlkmuug2lNLuGbVBbukkDi4YpcqM3DJLhX0cM0uAVYkioo1CjQE&#10;BoZkh2yPNJX2ZK9mC/HAlwLtGoWfbhSMA28D2P5gEm9XWXzNP5kLXN+xPQ1Le31U6KilLXWgEK44&#10;pGPI0tM53cPdgQf+n9vN8Orak9DrjotujVBMOtR7Ggc7TCpwz+5JbYfaOjWHld1RdLkdx6K/f+Xp&#10;9KIjuIwABhAbR+py9eQ0uai5LmxVEFjhfWXg2Q8XUy3yLFlkea5qoZab1U0uyQODYvPsgIbXbYoG&#10;Zjn2VinUMr2N/gYERlt8SmqgOvszoqAvrp1otAjCychbeP4omtjhyKbRdRTYXuTNF3+pbqDeNM2S&#10;hJf3Wck7pUi9fyYbWs2qNR5qRVX6miEGoQ9OqIjc7iAcmBVZA6o5zwqQ3HAhayM2TTlLbssEW61h&#10;Wa7H42HsCDcA0P1HSEAcaa2hldFKJI+gO6SAZobsg76HQSrkJ4vsQCvPrPqPLZPcIvmPJSiniHog&#10;0kiDD54/ceBBmjMrc4aVMbiaWY0FVKmGNw08wZJtJbNNCjtpLizFFcjGdaZ0Ccano2ofQLz9RyoO&#10;WEQL41+B5oDcc45KDrlZwQZ674mSI6W4ScGSX0kpdiorAJKm/sGCDvSzAo9Gru8BlwJrUcedhO3N&#10;rspYKeYQegGYVwlfGgH9dNdGp7YrqRuKqMHMUnSNBN+pPui5zkS1Wd85bPqqVrKj2/A29EaeE9yO&#10;PHs+H10tbrxRsKATf+7Ob27mdNhKqkE/v5WQGU7SxAL/jmnC6ApNLwACdgX++wrYIfIdH7M06PzX&#10;E0TYs8gXJIhmv9pDW6oCfiVX9DzRcwQMND/A4P/GDdB1z3GDp+pt0OpweelfeV+cGxwffi1rpfMc&#10;N7hu4IAa+8YNz0iIb9zwb3EDvlFqXx99vRSBr4TgxRpKofYloHpzZz6j3Di8qrz8GwAA//8DAFBL&#10;AwQUAAYACAAAACEAWzyhOuIAAAANAQAADwAAAGRycy9kb3ducmV2LnhtbEyPwU7DMAyG70i8Q2Qk&#10;bizNSgMqTadpAk4TEhsS4pY1XlutSaoma7u3x5zY0f4//f5crGbbsRGH0HqnQCwSYOgqb1pXK/ja&#10;vz08AwtRO6M771DBBQOsytubQufGT+4Tx12sGZW4kGsFTYx9znmoGrQ6LHyPjrKjH6yONA41N4Oe&#10;qNx2fJkkklvdOrrQ6B43DVan3dkqeJ/0tE7F67g9HTeXn3328b0VqNT93bx+ARZxjv8w/OmTOpTk&#10;dPBnZwLrFGSPWUooBdlTIoARIoWUwA60kukyA14W/PqL8hcAAP//AwBQSwECLQAUAAYACAAAACEA&#10;toM4kv4AAADhAQAAEwAAAAAAAAAAAAAAAAAAAAAAW0NvbnRlbnRfVHlwZXNdLnhtbFBLAQItABQA&#10;BgAIAAAAIQA4/SH/1gAAAJQBAAALAAAAAAAAAAAAAAAAAC8BAABfcmVscy8ucmVsc1BLAQItABQA&#10;BgAIAAAAIQANlCTNbwUAAPIUAAAOAAAAAAAAAAAAAAAAAC4CAABkcnMvZTJvRG9jLnhtbFBLAQIt&#10;ABQABgAIAAAAIQBbPKE64gAAAA0BAAAPAAAAAAAAAAAAAAAAAMkHAABkcnMvZG93bnJldi54bWxQ&#10;SwUGAAAAAAQABADzAAAA2AgAAAAA&#10;">
          <v:shape id="Shape 83992" o:spid="_x0000_s2055" style="position:absolute;width:452628;height:396240;visibility:visible" coordsize="452628,396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vtwwAAANoAAAAPAAAAZHJzL2Rvd25yZXYueG1sRI9Pi8Iw&#10;FMTvgt8hPMGbpqsobm0qIgoqePDPYY+P5tmWTV5KE7X77TfCwh6HmfkNk606a8STWl87VvAxTkAQ&#10;F07XXCq4XXejBQgfkDUax6Tghzys8n4vw1S7F5/peQmliBD2KSqoQmhSKX1RkUU/dg1x9O6utRii&#10;bEupW3xFuDVykiRzabHmuFBhQ5uKiu/Lwyo4TcjsTodZ8bl9mPn+67ZYH51Xajjo1ksQgbrwH/5r&#10;77WCKbyvxBsg818AAAD//wMAUEsBAi0AFAAGAAgAAAAhANvh9svuAAAAhQEAABMAAAAAAAAAAAAA&#10;AAAAAAAAAFtDb250ZW50X1R5cGVzXS54bWxQSwECLQAUAAYACAAAACEAWvQsW78AAAAVAQAACwAA&#10;AAAAAAAAAAAAAAAfAQAAX3JlbHMvLnJlbHNQSwECLQAUAAYACAAAACEADDab7cMAAADaAAAADwAA&#10;AAAAAAAAAAAAAAAHAgAAZHJzL2Rvd25yZXYueG1sUEsFBgAAAAADAAMAtwAAAPcCAAAAAA==&#10;" adj="0,,0" path="m227076,c352044,,452628,88392,452628,198120v,109728,-100584,198120,-225552,198120c102108,396240,,307848,,198120,,88392,102108,,227076,xe" fillcolor="#40618b" stroked="f" strokeweight="0">
            <v:stroke miterlimit="83231f" joinstyle="miter"/>
            <v:formulas/>
            <v:path arrowok="t" o:connecttype="custom" o:connectlocs="227076,0;452628,198120;227076,396240;0,198120;227076,0" o:connectangles="0,0,0,0,0" textboxrect="0,0,452628,396240"/>
          </v:shape>
          <v:rect id="Rectangle 83993" o:spid="_x0000_s2054" style="position:absolute;left:193547;top:123786;width:84065;height:197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63318A" w:rsidRDefault="00501294">
                  <w:r w:rsidRPr="00501294">
                    <w:rPr>
                      <w:color w:val="000000"/>
                      <w:sz w:val="21"/>
                    </w:rPr>
                    <w:fldChar w:fldCharType="begin"/>
                  </w:r>
                  <w:r w:rsidR="0063318A">
                    <w:instrText xml:space="preserve"> PAGE   \* MERGEFORMAT </w:instrText>
                  </w:r>
                  <w:r w:rsidRPr="00501294">
                    <w:rPr>
                      <w:color w:val="000000"/>
                      <w:sz w:val="21"/>
                    </w:rPr>
                    <w:fldChar w:fldCharType="separate"/>
                  </w:r>
                  <w:r w:rsidR="00BB3AC7" w:rsidRPr="00BB3AC7">
                    <w:rPr>
                      <w:b/>
                      <w:noProof/>
                      <w:color w:val="FFFFFF"/>
                      <w:sz w:val="20"/>
                    </w:rPr>
                    <w:t>4</w:t>
                  </w:r>
                  <w:r>
                    <w:rPr>
                      <w:b/>
                      <w:color w:val="FFFFFF"/>
                      <w:sz w:val="20"/>
                    </w:rPr>
                    <w:fldChar w:fldCharType="end"/>
                  </w:r>
                </w:p>
              </w:txbxContent>
            </v:textbox>
          </v:rect>
          <v:rect id="Rectangle 83994" o:spid="_x0000_s2053" style="position:absolute;left:257554;top:123786;width:33626;height:197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63318A" w:rsidRDefault="0063318A">
                  <w:r>
                    <w:rPr>
                      <w:b/>
                      <w:color w:val="FFFFFF"/>
                      <w:sz w:val="20"/>
                    </w:rPr>
                    <w:t xml:space="preserve"> </w:t>
                  </w:r>
                </w:p>
              </w:txbxContent>
            </v:textbox>
          </v:rect>
          <w10:wrap type="square" anchorx="page" anchory="page"/>
        </v:group>
      </w:pict>
    </w:r>
    <w:r w:rsidR="0063318A">
      <w:rPr>
        <w:rFonts w:ascii="Times New Roman" w:eastAsia="Times New Roman" w:hAnsi="Times New Roman" w:cs="Times New Roman"/>
        <w:sz w:val="16"/>
      </w:rPr>
      <w:t xml:space="preserve"> </w:t>
    </w:r>
    <w:r w:rsidR="0063318A">
      <w:rPr>
        <w:rFonts w:ascii="Times New Roman" w:eastAsia="Times New Roman" w:hAnsi="Times New Roman" w:cs="Times New Roman"/>
        <w:sz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8A" w:rsidRDefault="00501294">
    <w:pPr>
      <w:spacing w:after="0"/>
      <w:ind w:left="283"/>
    </w:pPr>
    <w:r w:rsidRPr="00501294">
      <w:rPr>
        <w:rFonts w:asciiTheme="majorHAnsi" w:eastAsiaTheme="majorEastAsia" w:hAnsiTheme="majorHAnsi" w:cstheme="majorBidi"/>
        <w:noProof/>
      </w:rPr>
      <w:pict>
        <v:oval id="Ovale 1" o:spid="_x0000_s2051" style="position:absolute;left:0;text-align:left;margin-left:230.85pt;margin-top:7.5pt;width:39.65pt;height:31.7pt;z-index:251658752;visibility:visible;mso-position-horizontal-relative:margin;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e2gAIAAAAFAAAOAAAAZHJzL2Uyb0RvYy54bWysVG1v0zAQ/o7Ef7D8vcsLSddESye2UYQ0&#10;2KTBD3Adp7FwbHN2mw7Ef+fstKMDPiBEP7i+3Pn8PHfP+eJyPyiyE+Ck0Q3NzlJKhOamlXrT0E8f&#10;V7MFJc4z3TJltGjoo3D0cvnyxcVoa5Gb3qhWAMEk2tWjbWjvva2TxPFeDMydGSs0OjsDA/NowiZp&#10;gY2YfVBJnqbzZDTQWjBcOIdfbyYnXcb8XSe4v+s6JzxRDUVsPq4Q13VYk+UFqzfAbC/5AQb7BxQD&#10;kxovfUp1wzwjW5C/pRokB+NM58+4GRLTdZKLyAHZZOkvbB56ZkXkgsVx9qlM7v+l5R9290Bki72j&#10;RLMBW3S3Y0qQLJRmtK7GiAd7D4Gcs7eGf3ZEm+ue6Y14DWDGXrAWAcX45NmBYDg8Stbje9NiZrb1&#10;JlZp38EQEiJ/so/NeHxqhth7wvFjmb4qy5ISjq4izcsqNith9fGwBeffCjOQsGmoUEpaF8rFara7&#10;dR7xY/QxKuI3SrYrqVQ0YLO+VkCQbbhgni2uAmU84k7DlA7B2oRjk3v6gjDxjuALgGOrv1VZXqRX&#10;eTVbzRfns2JVlLPqPF3M0qy6quZpURU3q+8BYFbUvWxboW+lFkfZZcXftfUwAJNgovDI2NCqzMvI&#10;/Rl6d0oyjb8/kQSz1S2yY3Xo5pvD3jOppn3yHHGsEtI+/sdCxN6Hdk+y8fv1PuoqPwppbdpHFAMY&#10;bBaOIj4auOkNfKVkxAFsqPuyZSAoUe80CqrKiiJMbDSK8jxHA04961MP0xxTNZR7oGQyrv0051sL&#10;ctPjXVmsjzavUYadjPoIEp1wIZdg4JhFVocnIczxqR2jfj5cyx8AAAD//wMAUEsDBBQABgAIAAAA&#10;IQDJ0git4AAAAAkBAAAPAAAAZHJzL2Rvd25yZXYueG1sTI/NTsMwEITvSLyDtUhcELWD0h9CnIoi&#10;9UYrUVC5usmSRNjrNHba9O1ZTnDb0XyancmXo7PihH1oPWlIJgoEUumrlmoNH+/r+wWIEA1VxnpC&#10;DRcMsCyur3KTVf5Mb3jaxVpwCIXMaGhi7DIpQ9mgM2HiOyT2vnzvTGTZ17LqzZnDnZUPSs2kMy3x&#10;h8Z0+NJg+b0bnAZrN+H18Xi3PQ7r1Wq/36hL+qm0vr0Zn59ARBzjHwy/9bk6FNzp4AeqgrAa0lky&#10;Z5SNKW9iYJomfBw0zBcpyCKX/xcUPwAAAP//AwBQSwECLQAUAAYACAAAACEAtoM4kv4AAADhAQAA&#10;EwAAAAAAAAAAAAAAAAAAAAAAW0NvbnRlbnRfVHlwZXNdLnhtbFBLAQItABQABgAIAAAAIQA4/SH/&#10;1gAAAJQBAAALAAAAAAAAAAAAAAAAAC8BAABfcmVscy8ucmVsc1BLAQItABQABgAIAAAAIQAX3we2&#10;gAIAAAAFAAAOAAAAAAAAAAAAAAAAAC4CAABkcnMvZTJvRG9jLnhtbFBLAQItABQABgAIAAAAIQDJ&#10;0git4AAAAAkBAAAPAAAAAAAAAAAAAAAAANoEAABkcnMvZG93bnJldi54bWxQSwUGAAAAAAQABADz&#10;AAAA5wUAAAAA&#10;" fillcolor="#40618b" stroked="f">
          <v:textbox>
            <w:txbxContent>
              <w:p w:rsidR="0063318A" w:rsidRPr="00BD62C0" w:rsidRDefault="00501294">
                <w:pPr>
                  <w:pStyle w:val="Pidipagina"/>
                  <w:jc w:val="center"/>
                  <w:rPr>
                    <w:b/>
                    <w:bCs/>
                    <w:color w:val="FFFFFF" w:themeColor="background1"/>
                    <w:sz w:val="20"/>
                    <w:szCs w:val="20"/>
                  </w:rPr>
                </w:pPr>
                <w:r w:rsidRPr="00501294">
                  <w:fldChar w:fldCharType="begin"/>
                </w:r>
                <w:r w:rsidR="0063318A">
                  <w:instrText>PAGE    \* MERGEFORMAT</w:instrText>
                </w:r>
                <w:r w:rsidRPr="00501294">
                  <w:fldChar w:fldCharType="separate"/>
                </w:r>
                <w:r w:rsidR="00FF0630" w:rsidRPr="00FF0630">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8A" w:rsidRPr="007D3987" w:rsidRDefault="0063318A" w:rsidP="007D3987">
    <w:pPr>
      <w:jc w:val="both"/>
    </w:pPr>
    <w:r>
      <w:ptab w:relativeTo="margin" w:alignment="center" w:leader="none"/>
    </w:r>
    <w:r>
      <w:ptab w:relativeTo="margin" w:alignment="right" w:leader="none"/>
    </w:r>
    <w:r w:rsidRPr="00E76D63">
      <w:rPr>
        <w:noProof/>
      </w:rPr>
      <w:drawing>
        <wp:inline distT="0" distB="0" distL="0" distR="0">
          <wp:extent cx="6031230" cy="1132840"/>
          <wp:effectExtent l="0" t="0" r="762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26892" name="Immagine 1216626892"/>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31230" cy="1132840"/>
                  </a:xfrm>
                  <a:prstGeom prst="rect">
                    <a:avLst/>
                  </a:prstGeom>
                </pic:spPr>
              </pic:pic>
            </a:graphicData>
          </a:graphic>
        </wp:inline>
      </w:drawing>
    </w:r>
    <w:r w:rsidRPr="007D3987">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D77" w:rsidRDefault="00F61D77">
      <w:pPr>
        <w:spacing w:after="0" w:line="236" w:lineRule="auto"/>
        <w:ind w:right="87"/>
      </w:pPr>
      <w:r>
        <w:separator/>
      </w:r>
    </w:p>
  </w:footnote>
  <w:footnote w:type="continuationSeparator" w:id="0">
    <w:p w:rsidR="00F61D77" w:rsidRDefault="00F61D77">
      <w:pPr>
        <w:spacing w:after="0" w:line="236" w:lineRule="auto"/>
        <w:ind w:right="87"/>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8A" w:rsidRPr="007D3987" w:rsidRDefault="0063318A" w:rsidP="00D40A46">
    <w:pPr>
      <w:tabs>
        <w:tab w:val="left" w:pos="7938"/>
      </w:tabs>
      <w:jc w:val="both"/>
    </w:pPr>
    <w:r>
      <w:ptab w:relativeTo="margin" w:alignment="center" w:leader="none"/>
    </w:r>
    <w:r>
      <w:t xml:space="preserve">    </w:t>
    </w:r>
    <w:r>
      <w:ptab w:relativeTo="margin" w:alignment="right" w:leader="none"/>
    </w:r>
    <w:r w:rsidRPr="007D3987">
      <w:t xml:space="preserve"> </w:t>
    </w:r>
    <w:r w:rsidRPr="00E76D63">
      <w:rPr>
        <w:noProof/>
      </w:rPr>
      <w:drawing>
        <wp:inline distT="0" distB="0" distL="0" distR="0">
          <wp:extent cx="6031230" cy="113284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26892" name="Immagine 1216626892"/>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31230" cy="113284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shd w:val="clear" w:color="auto" w:fill="629DD1" w:themeFill="accent2"/>
      <w:tblCellMar>
        <w:top w:w="115" w:type="dxa"/>
        <w:left w:w="115" w:type="dxa"/>
        <w:bottom w:w="115" w:type="dxa"/>
        <w:right w:w="115" w:type="dxa"/>
      </w:tblCellMar>
      <w:tblLook w:val="04A0"/>
    </w:tblPr>
    <w:tblGrid>
      <w:gridCol w:w="236"/>
      <w:gridCol w:w="10340"/>
    </w:tblGrid>
    <w:tr w:rsidR="0063318A" w:rsidTr="000B1589">
      <w:tc>
        <w:tcPr>
          <w:tcW w:w="0" w:type="auto"/>
          <w:shd w:val="clear" w:color="auto" w:fill="629DD1" w:themeFill="accent2"/>
          <w:vAlign w:val="center"/>
        </w:tcPr>
        <w:p w:rsidR="0063318A" w:rsidRPr="000B1589" w:rsidRDefault="0063318A" w:rsidP="002C6517">
          <w:pPr>
            <w:pStyle w:val="Intestazione"/>
            <w:jc w:val="center"/>
            <w:rPr>
              <w:caps/>
              <w:color w:val="FFFFFF" w:themeColor="background1"/>
              <w:sz w:val="20"/>
              <w:szCs w:val="20"/>
            </w:rPr>
          </w:pPr>
        </w:p>
      </w:tc>
      <w:tc>
        <w:tcPr>
          <w:tcW w:w="0" w:type="auto"/>
          <w:shd w:val="clear" w:color="auto" w:fill="629DD1" w:themeFill="accent2"/>
          <w:vAlign w:val="center"/>
        </w:tcPr>
        <w:p w:rsidR="0063318A" w:rsidRPr="000B1589" w:rsidRDefault="0063318A" w:rsidP="000B1589">
          <w:pPr>
            <w:pStyle w:val="Intestazione"/>
            <w:ind w:left="331"/>
            <w:jc w:val="center"/>
            <w:rPr>
              <w:caps/>
              <w:color w:val="FFFFFF" w:themeColor="background1"/>
              <w:sz w:val="20"/>
              <w:szCs w:val="20"/>
            </w:rPr>
          </w:pPr>
          <w:r w:rsidRPr="000B1589">
            <w:rPr>
              <w:caps/>
              <w:color w:val="FFFFFF" w:themeColor="background1"/>
              <w:sz w:val="20"/>
              <w:szCs w:val="20"/>
            </w:rPr>
            <w:t>p</w:t>
          </w:r>
          <w:r>
            <w:rPr>
              <w:caps/>
              <w:color w:val="FFFFFF" w:themeColor="background1"/>
              <w:sz w:val="20"/>
              <w:szCs w:val="20"/>
            </w:rPr>
            <w:t>.</w:t>
          </w:r>
          <w:r w:rsidRPr="000B1589">
            <w:rPr>
              <w:caps/>
              <w:color w:val="FFFFFF" w:themeColor="background1"/>
              <w:sz w:val="20"/>
              <w:szCs w:val="20"/>
            </w:rPr>
            <w:t>r</w:t>
          </w:r>
          <w:r>
            <w:rPr>
              <w:caps/>
              <w:color w:val="FFFFFF" w:themeColor="background1"/>
              <w:sz w:val="20"/>
              <w:szCs w:val="20"/>
            </w:rPr>
            <w:t xml:space="preserve">. </w:t>
          </w:r>
          <w:r w:rsidRPr="000B1589">
            <w:rPr>
              <w:caps/>
              <w:color w:val="FFFFFF" w:themeColor="background1"/>
              <w:sz w:val="20"/>
              <w:szCs w:val="20"/>
            </w:rPr>
            <w:t xml:space="preserve">puglia fesr  2021 2027 </w:t>
          </w:r>
          <w:sdt>
            <w:sdtPr>
              <w:rPr>
                <w:caps/>
                <w:color w:val="FFFFFF" w:themeColor="background1"/>
                <w:sz w:val="20"/>
                <w:szCs w:val="20"/>
              </w:rPr>
              <w:alias w:val="Titolo"/>
              <w:tag w:val=""/>
              <w:id w:val="-77379048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20"/>
                  <w:szCs w:val="20"/>
                </w:rPr>
                <w:t>Allegato C – Accordo di Finanziamento Schema DESCRIZIONE DELLO STRUMENTO “Fondo Garanzia Mutualistica 2021-2027”</w:t>
              </w:r>
            </w:sdtContent>
          </w:sdt>
        </w:p>
      </w:tc>
    </w:tr>
  </w:tbl>
  <w:p w:rsidR="0063318A" w:rsidRDefault="0063318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733"/>
    <w:multiLevelType w:val="hybridMultilevel"/>
    <w:tmpl w:val="BDC26CEC"/>
    <w:lvl w:ilvl="0" w:tplc="5D2835E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87D5E80"/>
    <w:multiLevelType w:val="hybridMultilevel"/>
    <w:tmpl w:val="884EA6BC"/>
    <w:lvl w:ilvl="0" w:tplc="1C72AFC2">
      <w:start w:val="1"/>
      <w:numFmt w:val="lowerLetter"/>
      <w:lvlText w:val="%1)"/>
      <w:lvlJc w:val="left"/>
      <w:pPr>
        <w:ind w:left="720" w:hanging="360"/>
      </w:pPr>
      <w:rPr>
        <w:rFonts w:asciiTheme="minorHAnsi" w:hAnsiTheme="minorHAnsi" w:cs="Verdana" w:hint="default"/>
        <w:color w:val="00000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211EAC"/>
    <w:multiLevelType w:val="hybridMultilevel"/>
    <w:tmpl w:val="FE0A57F8"/>
    <w:lvl w:ilvl="0" w:tplc="04100019">
      <w:start w:val="1"/>
      <w:numFmt w:val="lowerLetter"/>
      <w:lvlText w:val="%1."/>
      <w:lvlJc w:val="left"/>
      <w:pPr>
        <w:ind w:left="998" w:hanging="360"/>
      </w:pPr>
    </w:lvl>
    <w:lvl w:ilvl="1" w:tplc="04100019" w:tentative="1">
      <w:start w:val="1"/>
      <w:numFmt w:val="lowerLetter"/>
      <w:lvlText w:val="%2."/>
      <w:lvlJc w:val="left"/>
      <w:pPr>
        <w:ind w:left="1718" w:hanging="360"/>
      </w:pPr>
    </w:lvl>
    <w:lvl w:ilvl="2" w:tplc="0410001B" w:tentative="1">
      <w:start w:val="1"/>
      <w:numFmt w:val="lowerRoman"/>
      <w:lvlText w:val="%3."/>
      <w:lvlJc w:val="right"/>
      <w:pPr>
        <w:ind w:left="2438" w:hanging="180"/>
      </w:pPr>
    </w:lvl>
    <w:lvl w:ilvl="3" w:tplc="0410000F" w:tentative="1">
      <w:start w:val="1"/>
      <w:numFmt w:val="decimal"/>
      <w:lvlText w:val="%4."/>
      <w:lvlJc w:val="left"/>
      <w:pPr>
        <w:ind w:left="3158" w:hanging="360"/>
      </w:pPr>
    </w:lvl>
    <w:lvl w:ilvl="4" w:tplc="04100019" w:tentative="1">
      <w:start w:val="1"/>
      <w:numFmt w:val="lowerLetter"/>
      <w:lvlText w:val="%5."/>
      <w:lvlJc w:val="left"/>
      <w:pPr>
        <w:ind w:left="3878" w:hanging="360"/>
      </w:pPr>
    </w:lvl>
    <w:lvl w:ilvl="5" w:tplc="0410001B" w:tentative="1">
      <w:start w:val="1"/>
      <w:numFmt w:val="lowerRoman"/>
      <w:lvlText w:val="%6."/>
      <w:lvlJc w:val="right"/>
      <w:pPr>
        <w:ind w:left="4598" w:hanging="180"/>
      </w:pPr>
    </w:lvl>
    <w:lvl w:ilvl="6" w:tplc="0410000F" w:tentative="1">
      <w:start w:val="1"/>
      <w:numFmt w:val="decimal"/>
      <w:lvlText w:val="%7."/>
      <w:lvlJc w:val="left"/>
      <w:pPr>
        <w:ind w:left="5318" w:hanging="360"/>
      </w:pPr>
    </w:lvl>
    <w:lvl w:ilvl="7" w:tplc="04100019" w:tentative="1">
      <w:start w:val="1"/>
      <w:numFmt w:val="lowerLetter"/>
      <w:lvlText w:val="%8."/>
      <w:lvlJc w:val="left"/>
      <w:pPr>
        <w:ind w:left="6038" w:hanging="360"/>
      </w:pPr>
    </w:lvl>
    <w:lvl w:ilvl="8" w:tplc="0410001B" w:tentative="1">
      <w:start w:val="1"/>
      <w:numFmt w:val="lowerRoman"/>
      <w:lvlText w:val="%9."/>
      <w:lvlJc w:val="right"/>
      <w:pPr>
        <w:ind w:left="6758" w:hanging="180"/>
      </w:pPr>
    </w:lvl>
  </w:abstractNum>
  <w:abstractNum w:abstractNumId="3">
    <w:nsid w:val="13F6726E"/>
    <w:multiLevelType w:val="hybridMultilevel"/>
    <w:tmpl w:val="5DEA733A"/>
    <w:lvl w:ilvl="0" w:tplc="04100017">
      <w:start w:val="1"/>
      <w:numFmt w:val="lowerLetter"/>
      <w:lvlText w:val="%1)"/>
      <w:lvlJc w:val="left"/>
      <w:pPr>
        <w:ind w:left="720" w:hanging="360"/>
      </w:pPr>
    </w:lvl>
    <w:lvl w:ilvl="1" w:tplc="295ADCA2">
      <w:start w:val="1"/>
      <w:numFmt w:val="decimal"/>
      <w:lvlText w:val="%2."/>
      <w:lvlJc w:val="left"/>
      <w:pPr>
        <w:ind w:left="1785" w:hanging="705"/>
      </w:pPr>
      <w:rPr>
        <w:rFonts w:hint="default"/>
      </w:rPr>
    </w:lvl>
    <w:lvl w:ilvl="2" w:tplc="A3EAE05E">
      <w:start w:val="1"/>
      <w:numFmt w:val="bullet"/>
      <w:lvlText w:val="•"/>
      <w:lvlJc w:val="left"/>
      <w:pPr>
        <w:ind w:left="2685" w:hanging="705"/>
      </w:pPr>
      <w:rPr>
        <w:rFonts w:ascii="Tw Cen MT" w:eastAsiaTheme="minorEastAsia" w:hAnsi="Tw Cen MT" w:cstheme="minorBidi" w:hint="default"/>
      </w:rPr>
    </w:lvl>
    <w:lvl w:ilvl="3" w:tplc="10B091B2">
      <w:start w:val="1"/>
      <w:numFmt w:val="bullet"/>
      <w:lvlText w:val="-"/>
      <w:lvlJc w:val="left"/>
      <w:pPr>
        <w:ind w:left="3225" w:hanging="705"/>
      </w:pPr>
      <w:rPr>
        <w:rFonts w:ascii="Tw Cen MT" w:eastAsiaTheme="minorEastAsia" w:hAnsi="Tw Cen MT" w:cstheme="minorBidi"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9476FFA"/>
    <w:multiLevelType w:val="hybridMultilevel"/>
    <w:tmpl w:val="4EEE8A24"/>
    <w:lvl w:ilvl="0" w:tplc="BAA49770">
      <w:start w:val="1"/>
      <w:numFmt w:val="decimal"/>
      <w:lvlText w:val="%1."/>
      <w:lvlJc w:val="left"/>
      <w:pPr>
        <w:ind w:left="710" w:hanging="432"/>
      </w:pPr>
      <w:rPr>
        <w:rFonts w:hint="default"/>
      </w:rPr>
    </w:lvl>
    <w:lvl w:ilvl="1" w:tplc="04100019" w:tentative="1">
      <w:start w:val="1"/>
      <w:numFmt w:val="lowerLetter"/>
      <w:lvlText w:val="%2."/>
      <w:lvlJc w:val="left"/>
      <w:pPr>
        <w:ind w:left="1358" w:hanging="360"/>
      </w:pPr>
    </w:lvl>
    <w:lvl w:ilvl="2" w:tplc="0410001B" w:tentative="1">
      <w:start w:val="1"/>
      <w:numFmt w:val="lowerRoman"/>
      <w:lvlText w:val="%3."/>
      <w:lvlJc w:val="right"/>
      <w:pPr>
        <w:ind w:left="2078" w:hanging="180"/>
      </w:pPr>
    </w:lvl>
    <w:lvl w:ilvl="3" w:tplc="0410000F" w:tentative="1">
      <w:start w:val="1"/>
      <w:numFmt w:val="decimal"/>
      <w:lvlText w:val="%4."/>
      <w:lvlJc w:val="left"/>
      <w:pPr>
        <w:ind w:left="2798" w:hanging="360"/>
      </w:pPr>
    </w:lvl>
    <w:lvl w:ilvl="4" w:tplc="04100019" w:tentative="1">
      <w:start w:val="1"/>
      <w:numFmt w:val="lowerLetter"/>
      <w:lvlText w:val="%5."/>
      <w:lvlJc w:val="left"/>
      <w:pPr>
        <w:ind w:left="3518" w:hanging="360"/>
      </w:pPr>
    </w:lvl>
    <w:lvl w:ilvl="5" w:tplc="0410001B" w:tentative="1">
      <w:start w:val="1"/>
      <w:numFmt w:val="lowerRoman"/>
      <w:lvlText w:val="%6."/>
      <w:lvlJc w:val="right"/>
      <w:pPr>
        <w:ind w:left="4238" w:hanging="180"/>
      </w:pPr>
    </w:lvl>
    <w:lvl w:ilvl="6" w:tplc="0410000F" w:tentative="1">
      <w:start w:val="1"/>
      <w:numFmt w:val="decimal"/>
      <w:lvlText w:val="%7."/>
      <w:lvlJc w:val="left"/>
      <w:pPr>
        <w:ind w:left="4958" w:hanging="360"/>
      </w:pPr>
    </w:lvl>
    <w:lvl w:ilvl="7" w:tplc="04100019" w:tentative="1">
      <w:start w:val="1"/>
      <w:numFmt w:val="lowerLetter"/>
      <w:lvlText w:val="%8."/>
      <w:lvlJc w:val="left"/>
      <w:pPr>
        <w:ind w:left="5678" w:hanging="360"/>
      </w:pPr>
    </w:lvl>
    <w:lvl w:ilvl="8" w:tplc="0410001B" w:tentative="1">
      <w:start w:val="1"/>
      <w:numFmt w:val="lowerRoman"/>
      <w:lvlText w:val="%9."/>
      <w:lvlJc w:val="right"/>
      <w:pPr>
        <w:ind w:left="6398" w:hanging="180"/>
      </w:pPr>
    </w:lvl>
  </w:abstractNum>
  <w:abstractNum w:abstractNumId="5">
    <w:nsid w:val="1A183EC1"/>
    <w:multiLevelType w:val="hybridMultilevel"/>
    <w:tmpl w:val="8FD0C500"/>
    <w:lvl w:ilvl="0" w:tplc="7CEE1DDA">
      <w:start w:val="1"/>
      <w:numFmt w:val="lowerLetter"/>
      <w:lvlText w:val="%1)"/>
      <w:lvlJc w:val="left"/>
      <w:pPr>
        <w:ind w:left="698" w:hanging="420"/>
      </w:pPr>
      <w:rPr>
        <w:rFonts w:hint="default"/>
      </w:rPr>
    </w:lvl>
    <w:lvl w:ilvl="1" w:tplc="04100019" w:tentative="1">
      <w:start w:val="1"/>
      <w:numFmt w:val="lowerLetter"/>
      <w:lvlText w:val="%2."/>
      <w:lvlJc w:val="left"/>
      <w:pPr>
        <w:ind w:left="1358" w:hanging="360"/>
      </w:pPr>
    </w:lvl>
    <w:lvl w:ilvl="2" w:tplc="0410001B" w:tentative="1">
      <w:start w:val="1"/>
      <w:numFmt w:val="lowerRoman"/>
      <w:lvlText w:val="%3."/>
      <w:lvlJc w:val="right"/>
      <w:pPr>
        <w:ind w:left="2078" w:hanging="180"/>
      </w:pPr>
    </w:lvl>
    <w:lvl w:ilvl="3" w:tplc="0410000F" w:tentative="1">
      <w:start w:val="1"/>
      <w:numFmt w:val="decimal"/>
      <w:lvlText w:val="%4."/>
      <w:lvlJc w:val="left"/>
      <w:pPr>
        <w:ind w:left="2798" w:hanging="360"/>
      </w:pPr>
    </w:lvl>
    <w:lvl w:ilvl="4" w:tplc="04100019" w:tentative="1">
      <w:start w:val="1"/>
      <w:numFmt w:val="lowerLetter"/>
      <w:lvlText w:val="%5."/>
      <w:lvlJc w:val="left"/>
      <w:pPr>
        <w:ind w:left="3518" w:hanging="360"/>
      </w:pPr>
    </w:lvl>
    <w:lvl w:ilvl="5" w:tplc="0410001B" w:tentative="1">
      <w:start w:val="1"/>
      <w:numFmt w:val="lowerRoman"/>
      <w:lvlText w:val="%6."/>
      <w:lvlJc w:val="right"/>
      <w:pPr>
        <w:ind w:left="4238" w:hanging="180"/>
      </w:pPr>
    </w:lvl>
    <w:lvl w:ilvl="6" w:tplc="0410000F" w:tentative="1">
      <w:start w:val="1"/>
      <w:numFmt w:val="decimal"/>
      <w:lvlText w:val="%7."/>
      <w:lvlJc w:val="left"/>
      <w:pPr>
        <w:ind w:left="4958" w:hanging="360"/>
      </w:pPr>
    </w:lvl>
    <w:lvl w:ilvl="7" w:tplc="04100019" w:tentative="1">
      <w:start w:val="1"/>
      <w:numFmt w:val="lowerLetter"/>
      <w:lvlText w:val="%8."/>
      <w:lvlJc w:val="left"/>
      <w:pPr>
        <w:ind w:left="5678" w:hanging="360"/>
      </w:pPr>
    </w:lvl>
    <w:lvl w:ilvl="8" w:tplc="0410001B" w:tentative="1">
      <w:start w:val="1"/>
      <w:numFmt w:val="lowerRoman"/>
      <w:lvlText w:val="%9."/>
      <w:lvlJc w:val="right"/>
      <w:pPr>
        <w:ind w:left="6398" w:hanging="180"/>
      </w:pPr>
    </w:lvl>
  </w:abstractNum>
  <w:abstractNum w:abstractNumId="6">
    <w:nsid w:val="22820A93"/>
    <w:multiLevelType w:val="hybridMultilevel"/>
    <w:tmpl w:val="65A4A880"/>
    <w:lvl w:ilvl="0" w:tplc="235828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BC732A1"/>
    <w:multiLevelType w:val="hybridMultilevel"/>
    <w:tmpl w:val="5DEA733A"/>
    <w:lvl w:ilvl="0" w:tplc="04100017">
      <w:start w:val="1"/>
      <w:numFmt w:val="lowerLetter"/>
      <w:lvlText w:val="%1)"/>
      <w:lvlJc w:val="left"/>
      <w:pPr>
        <w:ind w:left="720" w:hanging="360"/>
      </w:pPr>
    </w:lvl>
    <w:lvl w:ilvl="1" w:tplc="295ADCA2">
      <w:start w:val="1"/>
      <w:numFmt w:val="decimal"/>
      <w:lvlText w:val="%2."/>
      <w:lvlJc w:val="left"/>
      <w:pPr>
        <w:ind w:left="1785" w:hanging="705"/>
      </w:pPr>
      <w:rPr>
        <w:rFonts w:hint="default"/>
      </w:rPr>
    </w:lvl>
    <w:lvl w:ilvl="2" w:tplc="A3EAE05E">
      <w:start w:val="1"/>
      <w:numFmt w:val="bullet"/>
      <w:lvlText w:val="•"/>
      <w:lvlJc w:val="left"/>
      <w:pPr>
        <w:ind w:left="2685" w:hanging="705"/>
      </w:pPr>
      <w:rPr>
        <w:rFonts w:ascii="Tw Cen MT" w:eastAsiaTheme="minorEastAsia" w:hAnsi="Tw Cen MT" w:cstheme="minorBidi" w:hint="default"/>
      </w:rPr>
    </w:lvl>
    <w:lvl w:ilvl="3" w:tplc="10B091B2">
      <w:start w:val="1"/>
      <w:numFmt w:val="bullet"/>
      <w:lvlText w:val="-"/>
      <w:lvlJc w:val="left"/>
      <w:pPr>
        <w:ind w:left="3225" w:hanging="705"/>
      </w:pPr>
      <w:rPr>
        <w:rFonts w:ascii="Tw Cen MT" w:eastAsiaTheme="minorEastAsia" w:hAnsi="Tw Cen MT" w:cstheme="minorBidi"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89A3539"/>
    <w:multiLevelType w:val="hybridMultilevel"/>
    <w:tmpl w:val="C66C9A90"/>
    <w:lvl w:ilvl="0" w:tplc="1A1CEBFA">
      <w:start w:val="1"/>
      <w:numFmt w:val="bullet"/>
      <w:lvlText w:val=""/>
      <w:lvlJc w:val="left"/>
      <w:pPr>
        <w:ind w:left="1800" w:hanging="360"/>
      </w:pPr>
      <w:rPr>
        <w:rFonts w:ascii="Symbol" w:hAnsi="Symbol"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nsid w:val="3CEB45B6"/>
    <w:multiLevelType w:val="hybridMultilevel"/>
    <w:tmpl w:val="405EC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FA733CB"/>
    <w:multiLevelType w:val="hybridMultilevel"/>
    <w:tmpl w:val="4198D528"/>
    <w:lvl w:ilvl="0" w:tplc="DAEC47C8">
      <w:start w:val="1"/>
      <w:numFmt w:val="bullet"/>
      <w:lvlText w:val="-"/>
      <w:lvlJc w:val="left"/>
      <w:pPr>
        <w:ind w:left="1069" w:hanging="360"/>
      </w:pPr>
      <w:rPr>
        <w:rFonts w:ascii="Tw Cen MT" w:eastAsiaTheme="minorEastAsia" w:hAnsi="Tw Cen MT" w:cs="Verdana" w:hint="default"/>
        <w:color w:val="000000"/>
        <w:sz w:val="20"/>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nsid w:val="45CF4C20"/>
    <w:multiLevelType w:val="hybridMultilevel"/>
    <w:tmpl w:val="66962472"/>
    <w:lvl w:ilvl="0" w:tplc="04100017">
      <w:start w:val="1"/>
      <w:numFmt w:val="lowerLetter"/>
      <w:lvlText w:val="%1)"/>
      <w:lvlJc w:val="left"/>
      <w:pPr>
        <w:ind w:left="710" w:hanging="432"/>
      </w:pPr>
      <w:rPr>
        <w:rFonts w:hint="default"/>
      </w:rPr>
    </w:lvl>
    <w:lvl w:ilvl="1" w:tplc="04100019" w:tentative="1">
      <w:start w:val="1"/>
      <w:numFmt w:val="lowerLetter"/>
      <w:lvlText w:val="%2."/>
      <w:lvlJc w:val="left"/>
      <w:pPr>
        <w:ind w:left="1358" w:hanging="360"/>
      </w:pPr>
    </w:lvl>
    <w:lvl w:ilvl="2" w:tplc="0410001B" w:tentative="1">
      <w:start w:val="1"/>
      <w:numFmt w:val="lowerRoman"/>
      <w:lvlText w:val="%3."/>
      <w:lvlJc w:val="right"/>
      <w:pPr>
        <w:ind w:left="2078" w:hanging="180"/>
      </w:pPr>
    </w:lvl>
    <w:lvl w:ilvl="3" w:tplc="0410000F" w:tentative="1">
      <w:start w:val="1"/>
      <w:numFmt w:val="decimal"/>
      <w:lvlText w:val="%4."/>
      <w:lvlJc w:val="left"/>
      <w:pPr>
        <w:ind w:left="2798" w:hanging="360"/>
      </w:pPr>
    </w:lvl>
    <w:lvl w:ilvl="4" w:tplc="04100019" w:tentative="1">
      <w:start w:val="1"/>
      <w:numFmt w:val="lowerLetter"/>
      <w:lvlText w:val="%5."/>
      <w:lvlJc w:val="left"/>
      <w:pPr>
        <w:ind w:left="3518" w:hanging="360"/>
      </w:pPr>
    </w:lvl>
    <w:lvl w:ilvl="5" w:tplc="0410001B" w:tentative="1">
      <w:start w:val="1"/>
      <w:numFmt w:val="lowerRoman"/>
      <w:lvlText w:val="%6."/>
      <w:lvlJc w:val="right"/>
      <w:pPr>
        <w:ind w:left="4238" w:hanging="180"/>
      </w:pPr>
    </w:lvl>
    <w:lvl w:ilvl="6" w:tplc="0410000F" w:tentative="1">
      <w:start w:val="1"/>
      <w:numFmt w:val="decimal"/>
      <w:lvlText w:val="%7."/>
      <w:lvlJc w:val="left"/>
      <w:pPr>
        <w:ind w:left="4958" w:hanging="360"/>
      </w:pPr>
    </w:lvl>
    <w:lvl w:ilvl="7" w:tplc="04100019" w:tentative="1">
      <w:start w:val="1"/>
      <w:numFmt w:val="lowerLetter"/>
      <w:lvlText w:val="%8."/>
      <w:lvlJc w:val="left"/>
      <w:pPr>
        <w:ind w:left="5678" w:hanging="360"/>
      </w:pPr>
    </w:lvl>
    <w:lvl w:ilvl="8" w:tplc="0410001B" w:tentative="1">
      <w:start w:val="1"/>
      <w:numFmt w:val="lowerRoman"/>
      <w:lvlText w:val="%9."/>
      <w:lvlJc w:val="right"/>
      <w:pPr>
        <w:ind w:left="6398" w:hanging="180"/>
      </w:pPr>
    </w:lvl>
  </w:abstractNum>
  <w:abstractNum w:abstractNumId="12">
    <w:nsid w:val="490F7600"/>
    <w:multiLevelType w:val="hybridMultilevel"/>
    <w:tmpl w:val="439054F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4A9D3F6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6388A08"/>
    <w:multiLevelType w:val="hybridMultilevel"/>
    <w:tmpl w:val="A62286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75226D0"/>
    <w:multiLevelType w:val="hybridMultilevel"/>
    <w:tmpl w:val="7DBAB4E2"/>
    <w:lvl w:ilvl="0" w:tplc="0410000F">
      <w:start w:val="1"/>
      <w:numFmt w:val="decimal"/>
      <w:lvlText w:val="%1."/>
      <w:lvlJc w:val="left"/>
      <w:pPr>
        <w:ind w:left="998" w:hanging="360"/>
      </w:pPr>
    </w:lvl>
    <w:lvl w:ilvl="1" w:tplc="04100019" w:tentative="1">
      <w:start w:val="1"/>
      <w:numFmt w:val="lowerLetter"/>
      <w:lvlText w:val="%2."/>
      <w:lvlJc w:val="left"/>
      <w:pPr>
        <w:ind w:left="1718" w:hanging="360"/>
      </w:pPr>
    </w:lvl>
    <w:lvl w:ilvl="2" w:tplc="0410001B" w:tentative="1">
      <w:start w:val="1"/>
      <w:numFmt w:val="lowerRoman"/>
      <w:lvlText w:val="%3."/>
      <w:lvlJc w:val="right"/>
      <w:pPr>
        <w:ind w:left="2438" w:hanging="180"/>
      </w:pPr>
    </w:lvl>
    <w:lvl w:ilvl="3" w:tplc="0410000F" w:tentative="1">
      <w:start w:val="1"/>
      <w:numFmt w:val="decimal"/>
      <w:lvlText w:val="%4."/>
      <w:lvlJc w:val="left"/>
      <w:pPr>
        <w:ind w:left="3158" w:hanging="360"/>
      </w:pPr>
    </w:lvl>
    <w:lvl w:ilvl="4" w:tplc="04100019" w:tentative="1">
      <w:start w:val="1"/>
      <w:numFmt w:val="lowerLetter"/>
      <w:lvlText w:val="%5."/>
      <w:lvlJc w:val="left"/>
      <w:pPr>
        <w:ind w:left="3878" w:hanging="360"/>
      </w:pPr>
    </w:lvl>
    <w:lvl w:ilvl="5" w:tplc="0410001B" w:tentative="1">
      <w:start w:val="1"/>
      <w:numFmt w:val="lowerRoman"/>
      <w:lvlText w:val="%6."/>
      <w:lvlJc w:val="right"/>
      <w:pPr>
        <w:ind w:left="4598" w:hanging="180"/>
      </w:pPr>
    </w:lvl>
    <w:lvl w:ilvl="6" w:tplc="0410000F" w:tentative="1">
      <w:start w:val="1"/>
      <w:numFmt w:val="decimal"/>
      <w:lvlText w:val="%7."/>
      <w:lvlJc w:val="left"/>
      <w:pPr>
        <w:ind w:left="5318" w:hanging="360"/>
      </w:pPr>
    </w:lvl>
    <w:lvl w:ilvl="7" w:tplc="04100019" w:tentative="1">
      <w:start w:val="1"/>
      <w:numFmt w:val="lowerLetter"/>
      <w:lvlText w:val="%8."/>
      <w:lvlJc w:val="left"/>
      <w:pPr>
        <w:ind w:left="6038" w:hanging="360"/>
      </w:pPr>
    </w:lvl>
    <w:lvl w:ilvl="8" w:tplc="0410001B" w:tentative="1">
      <w:start w:val="1"/>
      <w:numFmt w:val="lowerRoman"/>
      <w:lvlText w:val="%9."/>
      <w:lvlJc w:val="right"/>
      <w:pPr>
        <w:ind w:left="6758" w:hanging="180"/>
      </w:pPr>
    </w:lvl>
  </w:abstractNum>
  <w:abstractNum w:abstractNumId="16">
    <w:nsid w:val="5EBC2204"/>
    <w:multiLevelType w:val="hybridMultilevel"/>
    <w:tmpl w:val="A572B734"/>
    <w:lvl w:ilvl="0" w:tplc="0410000F">
      <w:start w:val="1"/>
      <w:numFmt w:val="decimal"/>
      <w:lvlText w:val="%1."/>
      <w:lvlJc w:val="left"/>
      <w:pPr>
        <w:ind w:left="998" w:hanging="360"/>
      </w:pPr>
    </w:lvl>
    <w:lvl w:ilvl="1" w:tplc="04100019" w:tentative="1">
      <w:start w:val="1"/>
      <w:numFmt w:val="lowerLetter"/>
      <w:lvlText w:val="%2."/>
      <w:lvlJc w:val="left"/>
      <w:pPr>
        <w:ind w:left="1718" w:hanging="360"/>
      </w:pPr>
    </w:lvl>
    <w:lvl w:ilvl="2" w:tplc="0410001B" w:tentative="1">
      <w:start w:val="1"/>
      <w:numFmt w:val="lowerRoman"/>
      <w:lvlText w:val="%3."/>
      <w:lvlJc w:val="right"/>
      <w:pPr>
        <w:ind w:left="2438" w:hanging="180"/>
      </w:pPr>
    </w:lvl>
    <w:lvl w:ilvl="3" w:tplc="0410000F" w:tentative="1">
      <w:start w:val="1"/>
      <w:numFmt w:val="decimal"/>
      <w:lvlText w:val="%4."/>
      <w:lvlJc w:val="left"/>
      <w:pPr>
        <w:ind w:left="3158" w:hanging="360"/>
      </w:pPr>
    </w:lvl>
    <w:lvl w:ilvl="4" w:tplc="04100019" w:tentative="1">
      <w:start w:val="1"/>
      <w:numFmt w:val="lowerLetter"/>
      <w:lvlText w:val="%5."/>
      <w:lvlJc w:val="left"/>
      <w:pPr>
        <w:ind w:left="3878" w:hanging="360"/>
      </w:pPr>
    </w:lvl>
    <w:lvl w:ilvl="5" w:tplc="0410001B" w:tentative="1">
      <w:start w:val="1"/>
      <w:numFmt w:val="lowerRoman"/>
      <w:lvlText w:val="%6."/>
      <w:lvlJc w:val="right"/>
      <w:pPr>
        <w:ind w:left="4598" w:hanging="180"/>
      </w:pPr>
    </w:lvl>
    <w:lvl w:ilvl="6" w:tplc="0410000F" w:tentative="1">
      <w:start w:val="1"/>
      <w:numFmt w:val="decimal"/>
      <w:lvlText w:val="%7."/>
      <w:lvlJc w:val="left"/>
      <w:pPr>
        <w:ind w:left="5318" w:hanging="360"/>
      </w:pPr>
    </w:lvl>
    <w:lvl w:ilvl="7" w:tplc="04100019" w:tentative="1">
      <w:start w:val="1"/>
      <w:numFmt w:val="lowerLetter"/>
      <w:lvlText w:val="%8."/>
      <w:lvlJc w:val="left"/>
      <w:pPr>
        <w:ind w:left="6038" w:hanging="360"/>
      </w:pPr>
    </w:lvl>
    <w:lvl w:ilvl="8" w:tplc="0410001B" w:tentative="1">
      <w:start w:val="1"/>
      <w:numFmt w:val="lowerRoman"/>
      <w:lvlText w:val="%9."/>
      <w:lvlJc w:val="right"/>
      <w:pPr>
        <w:ind w:left="6758" w:hanging="180"/>
      </w:pPr>
    </w:lvl>
  </w:abstractNum>
  <w:abstractNum w:abstractNumId="17">
    <w:nsid w:val="615D7EA5"/>
    <w:multiLevelType w:val="hybridMultilevel"/>
    <w:tmpl w:val="7DDE3B32"/>
    <w:lvl w:ilvl="0" w:tplc="5D2835E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647C3DD1"/>
    <w:multiLevelType w:val="multilevel"/>
    <w:tmpl w:val="467C77BA"/>
    <w:lvl w:ilvl="0">
      <w:start w:val="1"/>
      <w:numFmt w:val="decimal"/>
      <w:lvlText w:val="%1."/>
      <w:lvlJc w:val="left"/>
      <w:pPr>
        <w:ind w:left="644" w:hanging="360"/>
      </w:pPr>
    </w:lvl>
    <w:lvl w:ilvl="1">
      <w:start w:val="1"/>
      <w:numFmt w:val="lowerLetter"/>
      <w:lvlText w:val="%2)"/>
      <w:lvlJc w:val="left"/>
      <w:pPr>
        <w:ind w:left="1076" w:hanging="432"/>
      </w:pPr>
      <w:rPr>
        <w:rFonts w:cs="Times New Roman"/>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9">
    <w:nsid w:val="6A3A74C7"/>
    <w:multiLevelType w:val="hybridMultilevel"/>
    <w:tmpl w:val="14EC2A14"/>
    <w:lvl w:ilvl="0" w:tplc="04100017">
      <w:start w:val="1"/>
      <w:numFmt w:val="lowerLetter"/>
      <w:lvlText w:val="%1)"/>
      <w:lvlJc w:val="left"/>
      <w:pPr>
        <w:ind w:left="710" w:hanging="432"/>
      </w:pPr>
      <w:rPr>
        <w:rFonts w:hint="default"/>
      </w:rPr>
    </w:lvl>
    <w:lvl w:ilvl="1" w:tplc="04100019" w:tentative="1">
      <w:start w:val="1"/>
      <w:numFmt w:val="lowerLetter"/>
      <w:lvlText w:val="%2."/>
      <w:lvlJc w:val="left"/>
      <w:pPr>
        <w:ind w:left="1358" w:hanging="360"/>
      </w:pPr>
    </w:lvl>
    <w:lvl w:ilvl="2" w:tplc="0410001B" w:tentative="1">
      <w:start w:val="1"/>
      <w:numFmt w:val="lowerRoman"/>
      <w:lvlText w:val="%3."/>
      <w:lvlJc w:val="right"/>
      <w:pPr>
        <w:ind w:left="2078" w:hanging="180"/>
      </w:pPr>
    </w:lvl>
    <w:lvl w:ilvl="3" w:tplc="0410000F" w:tentative="1">
      <w:start w:val="1"/>
      <w:numFmt w:val="decimal"/>
      <w:lvlText w:val="%4."/>
      <w:lvlJc w:val="left"/>
      <w:pPr>
        <w:ind w:left="2798" w:hanging="360"/>
      </w:pPr>
    </w:lvl>
    <w:lvl w:ilvl="4" w:tplc="04100019" w:tentative="1">
      <w:start w:val="1"/>
      <w:numFmt w:val="lowerLetter"/>
      <w:lvlText w:val="%5."/>
      <w:lvlJc w:val="left"/>
      <w:pPr>
        <w:ind w:left="3518" w:hanging="360"/>
      </w:pPr>
    </w:lvl>
    <w:lvl w:ilvl="5" w:tplc="0410001B" w:tentative="1">
      <w:start w:val="1"/>
      <w:numFmt w:val="lowerRoman"/>
      <w:lvlText w:val="%6."/>
      <w:lvlJc w:val="right"/>
      <w:pPr>
        <w:ind w:left="4238" w:hanging="180"/>
      </w:pPr>
    </w:lvl>
    <w:lvl w:ilvl="6" w:tplc="0410000F" w:tentative="1">
      <w:start w:val="1"/>
      <w:numFmt w:val="decimal"/>
      <w:lvlText w:val="%7."/>
      <w:lvlJc w:val="left"/>
      <w:pPr>
        <w:ind w:left="4958" w:hanging="360"/>
      </w:pPr>
    </w:lvl>
    <w:lvl w:ilvl="7" w:tplc="04100019" w:tentative="1">
      <w:start w:val="1"/>
      <w:numFmt w:val="lowerLetter"/>
      <w:lvlText w:val="%8."/>
      <w:lvlJc w:val="left"/>
      <w:pPr>
        <w:ind w:left="5678" w:hanging="360"/>
      </w:pPr>
    </w:lvl>
    <w:lvl w:ilvl="8" w:tplc="0410001B" w:tentative="1">
      <w:start w:val="1"/>
      <w:numFmt w:val="lowerRoman"/>
      <w:lvlText w:val="%9."/>
      <w:lvlJc w:val="right"/>
      <w:pPr>
        <w:ind w:left="6398" w:hanging="180"/>
      </w:pPr>
    </w:lvl>
  </w:abstractNum>
  <w:abstractNum w:abstractNumId="20">
    <w:nsid w:val="6C653CAB"/>
    <w:multiLevelType w:val="hybridMultilevel"/>
    <w:tmpl w:val="7428A240"/>
    <w:lvl w:ilvl="0" w:tplc="F258CF76">
      <w:start w:val="2"/>
      <w:numFmt w:val="decimal"/>
      <w:lvlText w:val="%1."/>
      <w:lvlJc w:val="left"/>
      <w:pPr>
        <w:ind w:left="998" w:hanging="360"/>
      </w:pPr>
      <w:rPr>
        <w:rFonts w:hint="default"/>
      </w:rPr>
    </w:lvl>
    <w:lvl w:ilvl="1" w:tplc="04100019" w:tentative="1">
      <w:start w:val="1"/>
      <w:numFmt w:val="lowerLetter"/>
      <w:lvlText w:val="%2."/>
      <w:lvlJc w:val="left"/>
      <w:pPr>
        <w:ind w:left="1718" w:hanging="360"/>
      </w:pPr>
    </w:lvl>
    <w:lvl w:ilvl="2" w:tplc="0410001B" w:tentative="1">
      <w:start w:val="1"/>
      <w:numFmt w:val="lowerRoman"/>
      <w:lvlText w:val="%3."/>
      <w:lvlJc w:val="right"/>
      <w:pPr>
        <w:ind w:left="2438" w:hanging="180"/>
      </w:pPr>
    </w:lvl>
    <w:lvl w:ilvl="3" w:tplc="0410000F" w:tentative="1">
      <w:start w:val="1"/>
      <w:numFmt w:val="decimal"/>
      <w:lvlText w:val="%4."/>
      <w:lvlJc w:val="left"/>
      <w:pPr>
        <w:ind w:left="3158" w:hanging="360"/>
      </w:pPr>
    </w:lvl>
    <w:lvl w:ilvl="4" w:tplc="04100019" w:tentative="1">
      <w:start w:val="1"/>
      <w:numFmt w:val="lowerLetter"/>
      <w:lvlText w:val="%5."/>
      <w:lvlJc w:val="left"/>
      <w:pPr>
        <w:ind w:left="3878" w:hanging="360"/>
      </w:pPr>
    </w:lvl>
    <w:lvl w:ilvl="5" w:tplc="0410001B" w:tentative="1">
      <w:start w:val="1"/>
      <w:numFmt w:val="lowerRoman"/>
      <w:lvlText w:val="%6."/>
      <w:lvlJc w:val="right"/>
      <w:pPr>
        <w:ind w:left="4598" w:hanging="180"/>
      </w:pPr>
    </w:lvl>
    <w:lvl w:ilvl="6" w:tplc="0410000F" w:tentative="1">
      <w:start w:val="1"/>
      <w:numFmt w:val="decimal"/>
      <w:lvlText w:val="%7."/>
      <w:lvlJc w:val="left"/>
      <w:pPr>
        <w:ind w:left="5318" w:hanging="360"/>
      </w:pPr>
    </w:lvl>
    <w:lvl w:ilvl="7" w:tplc="04100019" w:tentative="1">
      <w:start w:val="1"/>
      <w:numFmt w:val="lowerLetter"/>
      <w:lvlText w:val="%8."/>
      <w:lvlJc w:val="left"/>
      <w:pPr>
        <w:ind w:left="6038" w:hanging="360"/>
      </w:pPr>
    </w:lvl>
    <w:lvl w:ilvl="8" w:tplc="0410001B" w:tentative="1">
      <w:start w:val="1"/>
      <w:numFmt w:val="lowerRoman"/>
      <w:lvlText w:val="%9."/>
      <w:lvlJc w:val="right"/>
      <w:pPr>
        <w:ind w:left="6758" w:hanging="180"/>
      </w:pPr>
    </w:lvl>
  </w:abstractNum>
  <w:abstractNum w:abstractNumId="21">
    <w:nsid w:val="76735F27"/>
    <w:multiLevelType w:val="hybridMultilevel"/>
    <w:tmpl w:val="A6162CF0"/>
    <w:lvl w:ilvl="0" w:tplc="591E5B34">
      <w:start w:val="1"/>
      <w:numFmt w:val="lowerLetter"/>
      <w:pStyle w:val="Stile1"/>
      <w:lvlText w:val="%1)"/>
      <w:lvlJc w:val="left"/>
      <w:pPr>
        <w:ind w:left="998" w:hanging="360"/>
      </w:pPr>
    </w:lvl>
    <w:lvl w:ilvl="1" w:tplc="04100019" w:tentative="1">
      <w:start w:val="1"/>
      <w:numFmt w:val="lowerLetter"/>
      <w:lvlText w:val="%2."/>
      <w:lvlJc w:val="left"/>
      <w:pPr>
        <w:ind w:left="1718" w:hanging="360"/>
      </w:pPr>
    </w:lvl>
    <w:lvl w:ilvl="2" w:tplc="0410001B" w:tentative="1">
      <w:start w:val="1"/>
      <w:numFmt w:val="lowerRoman"/>
      <w:lvlText w:val="%3."/>
      <w:lvlJc w:val="right"/>
      <w:pPr>
        <w:ind w:left="2438" w:hanging="180"/>
      </w:pPr>
    </w:lvl>
    <w:lvl w:ilvl="3" w:tplc="0410000F" w:tentative="1">
      <w:start w:val="1"/>
      <w:numFmt w:val="decimal"/>
      <w:lvlText w:val="%4."/>
      <w:lvlJc w:val="left"/>
      <w:pPr>
        <w:ind w:left="3158" w:hanging="360"/>
      </w:pPr>
    </w:lvl>
    <w:lvl w:ilvl="4" w:tplc="04100019" w:tentative="1">
      <w:start w:val="1"/>
      <w:numFmt w:val="lowerLetter"/>
      <w:lvlText w:val="%5."/>
      <w:lvlJc w:val="left"/>
      <w:pPr>
        <w:ind w:left="3878" w:hanging="360"/>
      </w:pPr>
    </w:lvl>
    <w:lvl w:ilvl="5" w:tplc="0410001B" w:tentative="1">
      <w:start w:val="1"/>
      <w:numFmt w:val="lowerRoman"/>
      <w:lvlText w:val="%6."/>
      <w:lvlJc w:val="right"/>
      <w:pPr>
        <w:ind w:left="4598" w:hanging="180"/>
      </w:pPr>
    </w:lvl>
    <w:lvl w:ilvl="6" w:tplc="0410000F" w:tentative="1">
      <w:start w:val="1"/>
      <w:numFmt w:val="decimal"/>
      <w:lvlText w:val="%7."/>
      <w:lvlJc w:val="left"/>
      <w:pPr>
        <w:ind w:left="5318" w:hanging="360"/>
      </w:pPr>
    </w:lvl>
    <w:lvl w:ilvl="7" w:tplc="04100019" w:tentative="1">
      <w:start w:val="1"/>
      <w:numFmt w:val="lowerLetter"/>
      <w:lvlText w:val="%8."/>
      <w:lvlJc w:val="left"/>
      <w:pPr>
        <w:ind w:left="6038" w:hanging="360"/>
      </w:pPr>
    </w:lvl>
    <w:lvl w:ilvl="8" w:tplc="0410001B" w:tentative="1">
      <w:start w:val="1"/>
      <w:numFmt w:val="lowerRoman"/>
      <w:lvlText w:val="%9."/>
      <w:lvlJc w:val="right"/>
      <w:pPr>
        <w:ind w:left="6758" w:hanging="180"/>
      </w:pPr>
    </w:lvl>
  </w:abstractNum>
  <w:abstractNum w:abstractNumId="22">
    <w:nsid w:val="7A637864"/>
    <w:multiLevelType w:val="hybridMultilevel"/>
    <w:tmpl w:val="CDEA189A"/>
    <w:lvl w:ilvl="0" w:tplc="14904CD4">
      <w:start w:val="1"/>
      <w:numFmt w:val="bullet"/>
      <w:lvlText w:val="-"/>
      <w:lvlJc w:val="left"/>
      <w:pPr>
        <w:ind w:left="644" w:hanging="360"/>
      </w:pPr>
      <w:rPr>
        <w:rFonts w:ascii="Tw Cen MT" w:eastAsiaTheme="minorEastAsia" w:hAnsi="Tw Cen MT"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17"/>
  </w:num>
  <w:num w:numId="6">
    <w:abstractNumId w:val="8"/>
  </w:num>
  <w:num w:numId="7">
    <w:abstractNumId w:val="18"/>
  </w:num>
  <w:num w:numId="8">
    <w:abstractNumId w:val="12"/>
  </w:num>
  <w:num w:numId="9">
    <w:abstractNumId w:val="10"/>
  </w:num>
  <w:num w:numId="10">
    <w:abstractNumId w:val="21"/>
  </w:num>
  <w:num w:numId="11">
    <w:abstractNumId w:val="5"/>
  </w:num>
  <w:num w:numId="12">
    <w:abstractNumId w:val="15"/>
  </w:num>
  <w:num w:numId="13">
    <w:abstractNumId w:val="16"/>
  </w:num>
  <w:num w:numId="14">
    <w:abstractNumId w:val="20"/>
  </w:num>
  <w:num w:numId="15">
    <w:abstractNumId w:val="4"/>
  </w:num>
  <w:num w:numId="16">
    <w:abstractNumId w:val="11"/>
  </w:num>
  <w:num w:numId="17">
    <w:abstractNumId w:val="19"/>
  </w:num>
  <w:num w:numId="18">
    <w:abstractNumId w:val="13"/>
  </w:num>
  <w:num w:numId="19">
    <w:abstractNumId w:val="22"/>
  </w:num>
  <w:num w:numId="20">
    <w:abstractNumId w:val="7"/>
  </w:num>
  <w:num w:numId="21">
    <w:abstractNumId w:val="3"/>
  </w:num>
  <w:num w:numId="22">
    <w:abstractNumId w:val="9"/>
  </w:num>
  <w:num w:numId="23">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hyphenationZone w:val="283"/>
  <w:characterSpacingControl w:val="doNotCompress"/>
  <w:hdrShapeDefaults>
    <o:shapedefaults v:ext="edit" spidmax="45058"/>
    <o:shapelayout v:ext="edit">
      <o:idmap v:ext="edit" data="2"/>
    </o:shapelayout>
  </w:hdrShapeDefaults>
  <w:footnotePr>
    <w:footnote w:id="-1"/>
    <w:footnote w:id="0"/>
  </w:footnotePr>
  <w:endnotePr>
    <w:endnote w:id="-1"/>
    <w:endnote w:id="0"/>
  </w:endnotePr>
  <w:compat>
    <w:useFELayout/>
  </w:compat>
  <w:rsids>
    <w:rsidRoot w:val="00FD7325"/>
    <w:rsid w:val="000004C5"/>
    <w:rsid w:val="000062D9"/>
    <w:rsid w:val="000065EC"/>
    <w:rsid w:val="000066E1"/>
    <w:rsid w:val="0001224C"/>
    <w:rsid w:val="000164D8"/>
    <w:rsid w:val="00020404"/>
    <w:rsid w:val="00022AB6"/>
    <w:rsid w:val="00023B0C"/>
    <w:rsid w:val="000244A1"/>
    <w:rsid w:val="00024E32"/>
    <w:rsid w:val="000251DF"/>
    <w:rsid w:val="000314D4"/>
    <w:rsid w:val="000327E9"/>
    <w:rsid w:val="00032891"/>
    <w:rsid w:val="00034AC3"/>
    <w:rsid w:val="0003501F"/>
    <w:rsid w:val="00035ABE"/>
    <w:rsid w:val="00037680"/>
    <w:rsid w:val="00042C12"/>
    <w:rsid w:val="00042F3D"/>
    <w:rsid w:val="00043004"/>
    <w:rsid w:val="00044734"/>
    <w:rsid w:val="00045027"/>
    <w:rsid w:val="0004635E"/>
    <w:rsid w:val="00046D93"/>
    <w:rsid w:val="00047D69"/>
    <w:rsid w:val="00047EC2"/>
    <w:rsid w:val="00047EF4"/>
    <w:rsid w:val="00051188"/>
    <w:rsid w:val="00052D6A"/>
    <w:rsid w:val="0005313D"/>
    <w:rsid w:val="000545BA"/>
    <w:rsid w:val="00056FF5"/>
    <w:rsid w:val="00057478"/>
    <w:rsid w:val="00062DE0"/>
    <w:rsid w:val="000634F3"/>
    <w:rsid w:val="000644BE"/>
    <w:rsid w:val="00064E82"/>
    <w:rsid w:val="00065437"/>
    <w:rsid w:val="00072ADB"/>
    <w:rsid w:val="00074286"/>
    <w:rsid w:val="000742A4"/>
    <w:rsid w:val="00074ADE"/>
    <w:rsid w:val="00076115"/>
    <w:rsid w:val="0007708F"/>
    <w:rsid w:val="00082333"/>
    <w:rsid w:val="00084245"/>
    <w:rsid w:val="00090C0E"/>
    <w:rsid w:val="00092059"/>
    <w:rsid w:val="000949F6"/>
    <w:rsid w:val="000961CD"/>
    <w:rsid w:val="00096D1D"/>
    <w:rsid w:val="00097C03"/>
    <w:rsid w:val="000A013B"/>
    <w:rsid w:val="000A0CE0"/>
    <w:rsid w:val="000A6B68"/>
    <w:rsid w:val="000A71C1"/>
    <w:rsid w:val="000A7BD1"/>
    <w:rsid w:val="000B1589"/>
    <w:rsid w:val="000B348C"/>
    <w:rsid w:val="000B34CF"/>
    <w:rsid w:val="000C0EA0"/>
    <w:rsid w:val="000C66B9"/>
    <w:rsid w:val="000D096B"/>
    <w:rsid w:val="000D2A94"/>
    <w:rsid w:val="000D32E1"/>
    <w:rsid w:val="000D45B3"/>
    <w:rsid w:val="000D48DF"/>
    <w:rsid w:val="000D5BEA"/>
    <w:rsid w:val="000E0907"/>
    <w:rsid w:val="000E0E0F"/>
    <w:rsid w:val="000E1DD3"/>
    <w:rsid w:val="000E2AE0"/>
    <w:rsid w:val="000E2DA1"/>
    <w:rsid w:val="000E3278"/>
    <w:rsid w:val="000E6AA5"/>
    <w:rsid w:val="000E7878"/>
    <w:rsid w:val="000E7E3A"/>
    <w:rsid w:val="000F0646"/>
    <w:rsid w:val="000F0ED6"/>
    <w:rsid w:val="000F1186"/>
    <w:rsid w:val="000F17CF"/>
    <w:rsid w:val="000F1E08"/>
    <w:rsid w:val="000F3112"/>
    <w:rsid w:val="000F50B8"/>
    <w:rsid w:val="000F70A7"/>
    <w:rsid w:val="000F7EA9"/>
    <w:rsid w:val="001008B4"/>
    <w:rsid w:val="0010152E"/>
    <w:rsid w:val="00101B8E"/>
    <w:rsid w:val="00101DD6"/>
    <w:rsid w:val="0010281E"/>
    <w:rsid w:val="00102A7D"/>
    <w:rsid w:val="00103348"/>
    <w:rsid w:val="001038CF"/>
    <w:rsid w:val="00103C0C"/>
    <w:rsid w:val="00105A50"/>
    <w:rsid w:val="00110B58"/>
    <w:rsid w:val="0011285C"/>
    <w:rsid w:val="00115460"/>
    <w:rsid w:val="0011776B"/>
    <w:rsid w:val="00120139"/>
    <w:rsid w:val="0012196F"/>
    <w:rsid w:val="00122B6D"/>
    <w:rsid w:val="00125E0C"/>
    <w:rsid w:val="001269F0"/>
    <w:rsid w:val="00127F3B"/>
    <w:rsid w:val="001310DD"/>
    <w:rsid w:val="00132B87"/>
    <w:rsid w:val="001338C5"/>
    <w:rsid w:val="00133E55"/>
    <w:rsid w:val="0013504C"/>
    <w:rsid w:val="001351A4"/>
    <w:rsid w:val="00135D0F"/>
    <w:rsid w:val="001373AB"/>
    <w:rsid w:val="0014353A"/>
    <w:rsid w:val="00143CFB"/>
    <w:rsid w:val="00143FCB"/>
    <w:rsid w:val="00145F3B"/>
    <w:rsid w:val="00150322"/>
    <w:rsid w:val="00150738"/>
    <w:rsid w:val="00151525"/>
    <w:rsid w:val="00153B0C"/>
    <w:rsid w:val="00154280"/>
    <w:rsid w:val="0015463A"/>
    <w:rsid w:val="00161071"/>
    <w:rsid w:val="00163F31"/>
    <w:rsid w:val="0016454E"/>
    <w:rsid w:val="00170A39"/>
    <w:rsid w:val="00170C1C"/>
    <w:rsid w:val="00173133"/>
    <w:rsid w:val="00173C04"/>
    <w:rsid w:val="00174287"/>
    <w:rsid w:val="00175117"/>
    <w:rsid w:val="00176C04"/>
    <w:rsid w:val="00177DE5"/>
    <w:rsid w:val="001807D9"/>
    <w:rsid w:val="0018342C"/>
    <w:rsid w:val="0018439F"/>
    <w:rsid w:val="001876F5"/>
    <w:rsid w:val="00187855"/>
    <w:rsid w:val="00190CDF"/>
    <w:rsid w:val="001945D0"/>
    <w:rsid w:val="00195E24"/>
    <w:rsid w:val="00196C62"/>
    <w:rsid w:val="001979CA"/>
    <w:rsid w:val="001A1248"/>
    <w:rsid w:val="001A1FEA"/>
    <w:rsid w:val="001A2653"/>
    <w:rsid w:val="001A4A2E"/>
    <w:rsid w:val="001A51F6"/>
    <w:rsid w:val="001A61AE"/>
    <w:rsid w:val="001B00F3"/>
    <w:rsid w:val="001B02A7"/>
    <w:rsid w:val="001B1DDD"/>
    <w:rsid w:val="001B2C98"/>
    <w:rsid w:val="001B3DA4"/>
    <w:rsid w:val="001B54F3"/>
    <w:rsid w:val="001B7C83"/>
    <w:rsid w:val="001B7CA4"/>
    <w:rsid w:val="001C147A"/>
    <w:rsid w:val="001C45EF"/>
    <w:rsid w:val="001C5A4B"/>
    <w:rsid w:val="001C680F"/>
    <w:rsid w:val="001D3E2F"/>
    <w:rsid w:val="001D432E"/>
    <w:rsid w:val="001D4E2F"/>
    <w:rsid w:val="001D6312"/>
    <w:rsid w:val="001D74CE"/>
    <w:rsid w:val="001D77E6"/>
    <w:rsid w:val="001E01CB"/>
    <w:rsid w:val="001E36A4"/>
    <w:rsid w:val="001E6993"/>
    <w:rsid w:val="001F1F52"/>
    <w:rsid w:val="001F208D"/>
    <w:rsid w:val="001F2DB7"/>
    <w:rsid w:val="001F2DCC"/>
    <w:rsid w:val="001F3C24"/>
    <w:rsid w:val="001F4CB3"/>
    <w:rsid w:val="001F65A9"/>
    <w:rsid w:val="001F76CE"/>
    <w:rsid w:val="002007E7"/>
    <w:rsid w:val="00200D05"/>
    <w:rsid w:val="00200E50"/>
    <w:rsid w:val="0020151C"/>
    <w:rsid w:val="00202CCD"/>
    <w:rsid w:val="0020635C"/>
    <w:rsid w:val="00207333"/>
    <w:rsid w:val="00207912"/>
    <w:rsid w:val="00207A9A"/>
    <w:rsid w:val="0021096A"/>
    <w:rsid w:val="00213708"/>
    <w:rsid w:val="00214125"/>
    <w:rsid w:val="002157EC"/>
    <w:rsid w:val="00215A49"/>
    <w:rsid w:val="00215C70"/>
    <w:rsid w:val="00216B6C"/>
    <w:rsid w:val="002201F4"/>
    <w:rsid w:val="002204F6"/>
    <w:rsid w:val="00223B22"/>
    <w:rsid w:val="002247F8"/>
    <w:rsid w:val="002259C9"/>
    <w:rsid w:val="00226923"/>
    <w:rsid w:val="00226BE0"/>
    <w:rsid w:val="0022733E"/>
    <w:rsid w:val="00227C15"/>
    <w:rsid w:val="00227E3D"/>
    <w:rsid w:val="00231F61"/>
    <w:rsid w:val="00235398"/>
    <w:rsid w:val="00236A34"/>
    <w:rsid w:val="00237095"/>
    <w:rsid w:val="00241297"/>
    <w:rsid w:val="00242E7C"/>
    <w:rsid w:val="00243E43"/>
    <w:rsid w:val="00247B60"/>
    <w:rsid w:val="0025448A"/>
    <w:rsid w:val="00257821"/>
    <w:rsid w:val="002579D1"/>
    <w:rsid w:val="002603BE"/>
    <w:rsid w:val="002638F1"/>
    <w:rsid w:val="00265897"/>
    <w:rsid w:val="00266798"/>
    <w:rsid w:val="002670C8"/>
    <w:rsid w:val="00272761"/>
    <w:rsid w:val="0027303B"/>
    <w:rsid w:val="002749EB"/>
    <w:rsid w:val="00282C83"/>
    <w:rsid w:val="00286A4F"/>
    <w:rsid w:val="00286C4E"/>
    <w:rsid w:val="00287E0B"/>
    <w:rsid w:val="00290B7D"/>
    <w:rsid w:val="002953C6"/>
    <w:rsid w:val="00295A78"/>
    <w:rsid w:val="00295C22"/>
    <w:rsid w:val="002979BF"/>
    <w:rsid w:val="002A0235"/>
    <w:rsid w:val="002A0818"/>
    <w:rsid w:val="002A23F1"/>
    <w:rsid w:val="002A29F1"/>
    <w:rsid w:val="002A4D8A"/>
    <w:rsid w:val="002B01F1"/>
    <w:rsid w:val="002B1485"/>
    <w:rsid w:val="002B17C9"/>
    <w:rsid w:val="002B2363"/>
    <w:rsid w:val="002B3E75"/>
    <w:rsid w:val="002B664A"/>
    <w:rsid w:val="002C1CCD"/>
    <w:rsid w:val="002C3287"/>
    <w:rsid w:val="002C346C"/>
    <w:rsid w:val="002C5EC5"/>
    <w:rsid w:val="002C6517"/>
    <w:rsid w:val="002C733E"/>
    <w:rsid w:val="002C7C37"/>
    <w:rsid w:val="002D12FC"/>
    <w:rsid w:val="002D31F2"/>
    <w:rsid w:val="002D32FC"/>
    <w:rsid w:val="002D564E"/>
    <w:rsid w:val="002D5E26"/>
    <w:rsid w:val="002D6B8E"/>
    <w:rsid w:val="002E177D"/>
    <w:rsid w:val="002E3551"/>
    <w:rsid w:val="002E393C"/>
    <w:rsid w:val="002F1C20"/>
    <w:rsid w:val="002F5896"/>
    <w:rsid w:val="002F5A5A"/>
    <w:rsid w:val="002F7265"/>
    <w:rsid w:val="002F7CD1"/>
    <w:rsid w:val="003004C9"/>
    <w:rsid w:val="00303FBE"/>
    <w:rsid w:val="00304F65"/>
    <w:rsid w:val="003060AD"/>
    <w:rsid w:val="00306B81"/>
    <w:rsid w:val="00306E24"/>
    <w:rsid w:val="00310D94"/>
    <w:rsid w:val="003131D1"/>
    <w:rsid w:val="00315AE5"/>
    <w:rsid w:val="00315C1D"/>
    <w:rsid w:val="00316086"/>
    <w:rsid w:val="003213E8"/>
    <w:rsid w:val="00321585"/>
    <w:rsid w:val="00325EED"/>
    <w:rsid w:val="003276E5"/>
    <w:rsid w:val="00330161"/>
    <w:rsid w:val="003326F2"/>
    <w:rsid w:val="00333525"/>
    <w:rsid w:val="00334E4D"/>
    <w:rsid w:val="00335158"/>
    <w:rsid w:val="003362B2"/>
    <w:rsid w:val="00336FA8"/>
    <w:rsid w:val="0034480B"/>
    <w:rsid w:val="00347341"/>
    <w:rsid w:val="00351C3C"/>
    <w:rsid w:val="00352394"/>
    <w:rsid w:val="003524D1"/>
    <w:rsid w:val="0035261E"/>
    <w:rsid w:val="00354C3F"/>
    <w:rsid w:val="003553F8"/>
    <w:rsid w:val="00355FED"/>
    <w:rsid w:val="00356DBB"/>
    <w:rsid w:val="00357EC9"/>
    <w:rsid w:val="00357ED7"/>
    <w:rsid w:val="0036172E"/>
    <w:rsid w:val="0036175D"/>
    <w:rsid w:val="00362C5C"/>
    <w:rsid w:val="00362DEC"/>
    <w:rsid w:val="00362E51"/>
    <w:rsid w:val="0036351B"/>
    <w:rsid w:val="00366368"/>
    <w:rsid w:val="0036645D"/>
    <w:rsid w:val="003664B5"/>
    <w:rsid w:val="00366DB0"/>
    <w:rsid w:val="00370206"/>
    <w:rsid w:val="00370931"/>
    <w:rsid w:val="00372663"/>
    <w:rsid w:val="003736FC"/>
    <w:rsid w:val="00373980"/>
    <w:rsid w:val="0037606B"/>
    <w:rsid w:val="0038236B"/>
    <w:rsid w:val="0038257E"/>
    <w:rsid w:val="00382AA3"/>
    <w:rsid w:val="003834AF"/>
    <w:rsid w:val="0038459E"/>
    <w:rsid w:val="00384691"/>
    <w:rsid w:val="00384CD2"/>
    <w:rsid w:val="003925F1"/>
    <w:rsid w:val="00395009"/>
    <w:rsid w:val="0039598C"/>
    <w:rsid w:val="003A0B22"/>
    <w:rsid w:val="003A0C68"/>
    <w:rsid w:val="003A1503"/>
    <w:rsid w:val="003A77A3"/>
    <w:rsid w:val="003B079A"/>
    <w:rsid w:val="003B07A3"/>
    <w:rsid w:val="003B0E47"/>
    <w:rsid w:val="003B17BC"/>
    <w:rsid w:val="003B3451"/>
    <w:rsid w:val="003B51C5"/>
    <w:rsid w:val="003B5D42"/>
    <w:rsid w:val="003C03CE"/>
    <w:rsid w:val="003C051A"/>
    <w:rsid w:val="003C0530"/>
    <w:rsid w:val="003C7EB9"/>
    <w:rsid w:val="003D2BB4"/>
    <w:rsid w:val="003D2FF9"/>
    <w:rsid w:val="003D463F"/>
    <w:rsid w:val="003D6C36"/>
    <w:rsid w:val="003F1C9E"/>
    <w:rsid w:val="003F2158"/>
    <w:rsid w:val="003F27F0"/>
    <w:rsid w:val="003F361B"/>
    <w:rsid w:val="003F6075"/>
    <w:rsid w:val="00401497"/>
    <w:rsid w:val="004019D2"/>
    <w:rsid w:val="00401A22"/>
    <w:rsid w:val="0040205A"/>
    <w:rsid w:val="0040359C"/>
    <w:rsid w:val="004050BB"/>
    <w:rsid w:val="00405ECD"/>
    <w:rsid w:val="00410916"/>
    <w:rsid w:val="00414AE6"/>
    <w:rsid w:val="0041660E"/>
    <w:rsid w:val="00417CCE"/>
    <w:rsid w:val="00420E18"/>
    <w:rsid w:val="004218E0"/>
    <w:rsid w:val="004219F1"/>
    <w:rsid w:val="004232A9"/>
    <w:rsid w:val="00426C8B"/>
    <w:rsid w:val="00430B0C"/>
    <w:rsid w:val="00430C3F"/>
    <w:rsid w:val="0043154D"/>
    <w:rsid w:val="00431D53"/>
    <w:rsid w:val="00433BE7"/>
    <w:rsid w:val="00434747"/>
    <w:rsid w:val="00435E65"/>
    <w:rsid w:val="004364C8"/>
    <w:rsid w:val="004378D8"/>
    <w:rsid w:val="004423D7"/>
    <w:rsid w:val="00444055"/>
    <w:rsid w:val="004452E6"/>
    <w:rsid w:val="004477D0"/>
    <w:rsid w:val="00447ACD"/>
    <w:rsid w:val="00450FB2"/>
    <w:rsid w:val="00451AB9"/>
    <w:rsid w:val="00452EC9"/>
    <w:rsid w:val="00453D4C"/>
    <w:rsid w:val="00456541"/>
    <w:rsid w:val="0045698A"/>
    <w:rsid w:val="00456BFF"/>
    <w:rsid w:val="00461644"/>
    <w:rsid w:val="004624DD"/>
    <w:rsid w:val="004632CA"/>
    <w:rsid w:val="00466D03"/>
    <w:rsid w:val="00471436"/>
    <w:rsid w:val="0047233A"/>
    <w:rsid w:val="0047315E"/>
    <w:rsid w:val="0047399F"/>
    <w:rsid w:val="00486823"/>
    <w:rsid w:val="004900C8"/>
    <w:rsid w:val="0049029B"/>
    <w:rsid w:val="00490636"/>
    <w:rsid w:val="00491C7F"/>
    <w:rsid w:val="00493910"/>
    <w:rsid w:val="00495122"/>
    <w:rsid w:val="004952C3"/>
    <w:rsid w:val="00497161"/>
    <w:rsid w:val="00497376"/>
    <w:rsid w:val="00497570"/>
    <w:rsid w:val="004A18DD"/>
    <w:rsid w:val="004A1C62"/>
    <w:rsid w:val="004A4602"/>
    <w:rsid w:val="004A4CE3"/>
    <w:rsid w:val="004A7076"/>
    <w:rsid w:val="004B0677"/>
    <w:rsid w:val="004B2A62"/>
    <w:rsid w:val="004B78E3"/>
    <w:rsid w:val="004C0152"/>
    <w:rsid w:val="004C12EB"/>
    <w:rsid w:val="004C32C3"/>
    <w:rsid w:val="004C759E"/>
    <w:rsid w:val="004D2B7B"/>
    <w:rsid w:val="004D2C01"/>
    <w:rsid w:val="004D30B0"/>
    <w:rsid w:val="004E257E"/>
    <w:rsid w:val="004E798B"/>
    <w:rsid w:val="004E7D00"/>
    <w:rsid w:val="004E7E3B"/>
    <w:rsid w:val="004F0A2F"/>
    <w:rsid w:val="004F2D4A"/>
    <w:rsid w:val="004F2D4E"/>
    <w:rsid w:val="004F431F"/>
    <w:rsid w:val="004F5B05"/>
    <w:rsid w:val="004F7760"/>
    <w:rsid w:val="004F7799"/>
    <w:rsid w:val="004F7DDB"/>
    <w:rsid w:val="00501294"/>
    <w:rsid w:val="00506FF7"/>
    <w:rsid w:val="0051034D"/>
    <w:rsid w:val="005103AB"/>
    <w:rsid w:val="0051146B"/>
    <w:rsid w:val="005117F1"/>
    <w:rsid w:val="00512BCD"/>
    <w:rsid w:val="00521ED7"/>
    <w:rsid w:val="00524BB7"/>
    <w:rsid w:val="00530684"/>
    <w:rsid w:val="00530E9E"/>
    <w:rsid w:val="00530ECF"/>
    <w:rsid w:val="00532E6C"/>
    <w:rsid w:val="00534581"/>
    <w:rsid w:val="00534629"/>
    <w:rsid w:val="00535378"/>
    <w:rsid w:val="00537C1B"/>
    <w:rsid w:val="00540D98"/>
    <w:rsid w:val="00541991"/>
    <w:rsid w:val="005445C1"/>
    <w:rsid w:val="005448D3"/>
    <w:rsid w:val="005478E8"/>
    <w:rsid w:val="00553034"/>
    <w:rsid w:val="005573B1"/>
    <w:rsid w:val="0055763D"/>
    <w:rsid w:val="00557F58"/>
    <w:rsid w:val="00560549"/>
    <w:rsid w:val="00561169"/>
    <w:rsid w:val="00561919"/>
    <w:rsid w:val="0056311C"/>
    <w:rsid w:val="0056402D"/>
    <w:rsid w:val="00564296"/>
    <w:rsid w:val="005652F0"/>
    <w:rsid w:val="00566FA7"/>
    <w:rsid w:val="0056758F"/>
    <w:rsid w:val="005714C5"/>
    <w:rsid w:val="00572CE7"/>
    <w:rsid w:val="0057515E"/>
    <w:rsid w:val="00575C39"/>
    <w:rsid w:val="00576A0C"/>
    <w:rsid w:val="00581492"/>
    <w:rsid w:val="00582FDA"/>
    <w:rsid w:val="00586250"/>
    <w:rsid w:val="00586EBB"/>
    <w:rsid w:val="00590A10"/>
    <w:rsid w:val="00597F66"/>
    <w:rsid w:val="005A0B01"/>
    <w:rsid w:val="005A1F73"/>
    <w:rsid w:val="005A5CE7"/>
    <w:rsid w:val="005A5DF3"/>
    <w:rsid w:val="005A6DDD"/>
    <w:rsid w:val="005B051C"/>
    <w:rsid w:val="005B2282"/>
    <w:rsid w:val="005B30CE"/>
    <w:rsid w:val="005B5D95"/>
    <w:rsid w:val="005B7308"/>
    <w:rsid w:val="005C2572"/>
    <w:rsid w:val="005C2F8D"/>
    <w:rsid w:val="005C6B57"/>
    <w:rsid w:val="005C6E0D"/>
    <w:rsid w:val="005D12E3"/>
    <w:rsid w:val="005D15ED"/>
    <w:rsid w:val="005D22C9"/>
    <w:rsid w:val="005E062F"/>
    <w:rsid w:val="005E2D81"/>
    <w:rsid w:val="005E4B7A"/>
    <w:rsid w:val="005E4D11"/>
    <w:rsid w:val="005E5CDC"/>
    <w:rsid w:val="005E6C65"/>
    <w:rsid w:val="005F1721"/>
    <w:rsid w:val="005F19A7"/>
    <w:rsid w:val="005F2950"/>
    <w:rsid w:val="005F39A6"/>
    <w:rsid w:val="005F52F8"/>
    <w:rsid w:val="005F5BE6"/>
    <w:rsid w:val="005F7D01"/>
    <w:rsid w:val="00600401"/>
    <w:rsid w:val="00601B4E"/>
    <w:rsid w:val="00601C05"/>
    <w:rsid w:val="00602FE7"/>
    <w:rsid w:val="00604217"/>
    <w:rsid w:val="00604A81"/>
    <w:rsid w:val="00605084"/>
    <w:rsid w:val="00605854"/>
    <w:rsid w:val="0060693E"/>
    <w:rsid w:val="00611027"/>
    <w:rsid w:val="006124C8"/>
    <w:rsid w:val="006139E3"/>
    <w:rsid w:val="00617702"/>
    <w:rsid w:val="00624774"/>
    <w:rsid w:val="00624783"/>
    <w:rsid w:val="006258E5"/>
    <w:rsid w:val="006262C6"/>
    <w:rsid w:val="006262D5"/>
    <w:rsid w:val="006267DC"/>
    <w:rsid w:val="00630A20"/>
    <w:rsid w:val="00630EDD"/>
    <w:rsid w:val="00632F6D"/>
    <w:rsid w:val="0063318A"/>
    <w:rsid w:val="00635728"/>
    <w:rsid w:val="00637629"/>
    <w:rsid w:val="00641099"/>
    <w:rsid w:val="00641669"/>
    <w:rsid w:val="006416D8"/>
    <w:rsid w:val="00642A5B"/>
    <w:rsid w:val="00645B4D"/>
    <w:rsid w:val="006463EF"/>
    <w:rsid w:val="00654175"/>
    <w:rsid w:val="00654A39"/>
    <w:rsid w:val="0065592F"/>
    <w:rsid w:val="00661CF4"/>
    <w:rsid w:val="00663AC3"/>
    <w:rsid w:val="00666325"/>
    <w:rsid w:val="0067036D"/>
    <w:rsid w:val="0067260E"/>
    <w:rsid w:val="00673A7C"/>
    <w:rsid w:val="006746C2"/>
    <w:rsid w:val="006769AD"/>
    <w:rsid w:val="006769B3"/>
    <w:rsid w:val="00676A88"/>
    <w:rsid w:val="00682244"/>
    <w:rsid w:val="0068468F"/>
    <w:rsid w:val="00685834"/>
    <w:rsid w:val="0069140D"/>
    <w:rsid w:val="0069161D"/>
    <w:rsid w:val="00693C41"/>
    <w:rsid w:val="00693C5B"/>
    <w:rsid w:val="00694A24"/>
    <w:rsid w:val="00696C34"/>
    <w:rsid w:val="006A0030"/>
    <w:rsid w:val="006A3926"/>
    <w:rsid w:val="006A4F75"/>
    <w:rsid w:val="006A7691"/>
    <w:rsid w:val="006B0137"/>
    <w:rsid w:val="006B1861"/>
    <w:rsid w:val="006B3F0C"/>
    <w:rsid w:val="006B445E"/>
    <w:rsid w:val="006B769F"/>
    <w:rsid w:val="006C1F2A"/>
    <w:rsid w:val="006C2E10"/>
    <w:rsid w:val="006C389C"/>
    <w:rsid w:val="006C3934"/>
    <w:rsid w:val="006C4256"/>
    <w:rsid w:val="006C6298"/>
    <w:rsid w:val="006C6D4E"/>
    <w:rsid w:val="006C6E2A"/>
    <w:rsid w:val="006D018B"/>
    <w:rsid w:val="006D24C1"/>
    <w:rsid w:val="006D4945"/>
    <w:rsid w:val="006D654D"/>
    <w:rsid w:val="006E1F51"/>
    <w:rsid w:val="006E40E5"/>
    <w:rsid w:val="006E485E"/>
    <w:rsid w:val="006E59A8"/>
    <w:rsid w:val="006E5A67"/>
    <w:rsid w:val="006E62DB"/>
    <w:rsid w:val="006E65F4"/>
    <w:rsid w:val="006F120D"/>
    <w:rsid w:val="006F2EED"/>
    <w:rsid w:val="006F5561"/>
    <w:rsid w:val="006F59EA"/>
    <w:rsid w:val="0070204D"/>
    <w:rsid w:val="00702EBB"/>
    <w:rsid w:val="007058DE"/>
    <w:rsid w:val="00706553"/>
    <w:rsid w:val="00707B5D"/>
    <w:rsid w:val="00711840"/>
    <w:rsid w:val="00711CE0"/>
    <w:rsid w:val="00713F4E"/>
    <w:rsid w:val="00715564"/>
    <w:rsid w:val="00716974"/>
    <w:rsid w:val="0072267D"/>
    <w:rsid w:val="007231AD"/>
    <w:rsid w:val="0072362A"/>
    <w:rsid w:val="00723DD3"/>
    <w:rsid w:val="00724473"/>
    <w:rsid w:val="0073199A"/>
    <w:rsid w:val="007346A1"/>
    <w:rsid w:val="007354A5"/>
    <w:rsid w:val="00735D8E"/>
    <w:rsid w:val="00743BAA"/>
    <w:rsid w:val="00747736"/>
    <w:rsid w:val="00750D11"/>
    <w:rsid w:val="00751283"/>
    <w:rsid w:val="00752E7A"/>
    <w:rsid w:val="00753D2C"/>
    <w:rsid w:val="007556AA"/>
    <w:rsid w:val="00755D1B"/>
    <w:rsid w:val="007628CB"/>
    <w:rsid w:val="00764951"/>
    <w:rsid w:val="00764EDB"/>
    <w:rsid w:val="00766BE1"/>
    <w:rsid w:val="00770552"/>
    <w:rsid w:val="00770B5C"/>
    <w:rsid w:val="007715F3"/>
    <w:rsid w:val="007818D0"/>
    <w:rsid w:val="0078334D"/>
    <w:rsid w:val="00783480"/>
    <w:rsid w:val="00785432"/>
    <w:rsid w:val="00786E22"/>
    <w:rsid w:val="00786F95"/>
    <w:rsid w:val="00787F89"/>
    <w:rsid w:val="007936E4"/>
    <w:rsid w:val="00793BC7"/>
    <w:rsid w:val="00797350"/>
    <w:rsid w:val="00797BA5"/>
    <w:rsid w:val="007A0F2D"/>
    <w:rsid w:val="007A2114"/>
    <w:rsid w:val="007A2B13"/>
    <w:rsid w:val="007A2F74"/>
    <w:rsid w:val="007A351A"/>
    <w:rsid w:val="007A38E7"/>
    <w:rsid w:val="007A40AD"/>
    <w:rsid w:val="007A4CEF"/>
    <w:rsid w:val="007A5101"/>
    <w:rsid w:val="007B4531"/>
    <w:rsid w:val="007B7F26"/>
    <w:rsid w:val="007C0F8C"/>
    <w:rsid w:val="007C31E6"/>
    <w:rsid w:val="007C4970"/>
    <w:rsid w:val="007C68A7"/>
    <w:rsid w:val="007D04BF"/>
    <w:rsid w:val="007D0FD5"/>
    <w:rsid w:val="007D126E"/>
    <w:rsid w:val="007D38D1"/>
    <w:rsid w:val="007D3987"/>
    <w:rsid w:val="007D4881"/>
    <w:rsid w:val="007D630C"/>
    <w:rsid w:val="007D7240"/>
    <w:rsid w:val="007E1047"/>
    <w:rsid w:val="007E1579"/>
    <w:rsid w:val="007E2A0B"/>
    <w:rsid w:val="007E7AA5"/>
    <w:rsid w:val="007F14A2"/>
    <w:rsid w:val="007F1E54"/>
    <w:rsid w:val="007F344A"/>
    <w:rsid w:val="007F3611"/>
    <w:rsid w:val="007F56DD"/>
    <w:rsid w:val="0080093D"/>
    <w:rsid w:val="008022B2"/>
    <w:rsid w:val="0080357C"/>
    <w:rsid w:val="00806261"/>
    <w:rsid w:val="008068DB"/>
    <w:rsid w:val="00807953"/>
    <w:rsid w:val="00810338"/>
    <w:rsid w:val="00810F85"/>
    <w:rsid w:val="0081168C"/>
    <w:rsid w:val="0081346F"/>
    <w:rsid w:val="00815929"/>
    <w:rsid w:val="00816B06"/>
    <w:rsid w:val="00817F28"/>
    <w:rsid w:val="00820426"/>
    <w:rsid w:val="008214D2"/>
    <w:rsid w:val="008216D9"/>
    <w:rsid w:val="00822A86"/>
    <w:rsid w:val="00825B08"/>
    <w:rsid w:val="00825D0D"/>
    <w:rsid w:val="008265A1"/>
    <w:rsid w:val="00831810"/>
    <w:rsid w:val="0083191C"/>
    <w:rsid w:val="008346A2"/>
    <w:rsid w:val="00835C28"/>
    <w:rsid w:val="00836D20"/>
    <w:rsid w:val="0083786E"/>
    <w:rsid w:val="00837AEE"/>
    <w:rsid w:val="00837E07"/>
    <w:rsid w:val="00837EA0"/>
    <w:rsid w:val="00845BFC"/>
    <w:rsid w:val="00846405"/>
    <w:rsid w:val="00846B82"/>
    <w:rsid w:val="00847B1B"/>
    <w:rsid w:val="0085052B"/>
    <w:rsid w:val="00850A71"/>
    <w:rsid w:val="00852607"/>
    <w:rsid w:val="0085466C"/>
    <w:rsid w:val="00857523"/>
    <w:rsid w:val="00860327"/>
    <w:rsid w:val="0086108D"/>
    <w:rsid w:val="008610EC"/>
    <w:rsid w:val="00861FC5"/>
    <w:rsid w:val="00862196"/>
    <w:rsid w:val="008639BD"/>
    <w:rsid w:val="00863C15"/>
    <w:rsid w:val="008644D2"/>
    <w:rsid w:val="00866087"/>
    <w:rsid w:val="0086684B"/>
    <w:rsid w:val="00866AAF"/>
    <w:rsid w:val="00871EEA"/>
    <w:rsid w:val="00872128"/>
    <w:rsid w:val="00872526"/>
    <w:rsid w:val="00873691"/>
    <w:rsid w:val="00880884"/>
    <w:rsid w:val="00880907"/>
    <w:rsid w:val="00883EA0"/>
    <w:rsid w:val="008861AD"/>
    <w:rsid w:val="00886DF7"/>
    <w:rsid w:val="00890484"/>
    <w:rsid w:val="00892C58"/>
    <w:rsid w:val="008A1483"/>
    <w:rsid w:val="008A326B"/>
    <w:rsid w:val="008A58F5"/>
    <w:rsid w:val="008A657D"/>
    <w:rsid w:val="008B3237"/>
    <w:rsid w:val="008B3CB3"/>
    <w:rsid w:val="008B5821"/>
    <w:rsid w:val="008B71F1"/>
    <w:rsid w:val="008C4A83"/>
    <w:rsid w:val="008C4E1C"/>
    <w:rsid w:val="008C5ADC"/>
    <w:rsid w:val="008C7E50"/>
    <w:rsid w:val="008D0FE5"/>
    <w:rsid w:val="008D2A68"/>
    <w:rsid w:val="008D4500"/>
    <w:rsid w:val="008E2070"/>
    <w:rsid w:val="008E25EA"/>
    <w:rsid w:val="008E2F95"/>
    <w:rsid w:val="008E37AC"/>
    <w:rsid w:val="008E407C"/>
    <w:rsid w:val="008E53F4"/>
    <w:rsid w:val="008E7FFA"/>
    <w:rsid w:val="008F0D87"/>
    <w:rsid w:val="008F4D1C"/>
    <w:rsid w:val="008F4F8E"/>
    <w:rsid w:val="0090396C"/>
    <w:rsid w:val="00906839"/>
    <w:rsid w:val="0091028E"/>
    <w:rsid w:val="00913086"/>
    <w:rsid w:val="0091354B"/>
    <w:rsid w:val="009150DA"/>
    <w:rsid w:val="0091633B"/>
    <w:rsid w:val="00916D93"/>
    <w:rsid w:val="00921F4D"/>
    <w:rsid w:val="00922FCC"/>
    <w:rsid w:val="00923E74"/>
    <w:rsid w:val="009241F5"/>
    <w:rsid w:val="00927E2B"/>
    <w:rsid w:val="00930325"/>
    <w:rsid w:val="00931461"/>
    <w:rsid w:val="009319F3"/>
    <w:rsid w:val="0094130E"/>
    <w:rsid w:val="00941DFC"/>
    <w:rsid w:val="00945EAF"/>
    <w:rsid w:val="00946243"/>
    <w:rsid w:val="00950C5E"/>
    <w:rsid w:val="009515C6"/>
    <w:rsid w:val="00952E6C"/>
    <w:rsid w:val="0095373A"/>
    <w:rsid w:val="00957B92"/>
    <w:rsid w:val="009603AA"/>
    <w:rsid w:val="00964297"/>
    <w:rsid w:val="009658A8"/>
    <w:rsid w:val="00966843"/>
    <w:rsid w:val="00971465"/>
    <w:rsid w:val="00973C09"/>
    <w:rsid w:val="0097507B"/>
    <w:rsid w:val="00976E5F"/>
    <w:rsid w:val="00981A4A"/>
    <w:rsid w:val="009830E8"/>
    <w:rsid w:val="0098501C"/>
    <w:rsid w:val="00985BA9"/>
    <w:rsid w:val="00987201"/>
    <w:rsid w:val="009933B7"/>
    <w:rsid w:val="00993E4F"/>
    <w:rsid w:val="00996F20"/>
    <w:rsid w:val="00997670"/>
    <w:rsid w:val="009977D7"/>
    <w:rsid w:val="009A160C"/>
    <w:rsid w:val="009A4CAC"/>
    <w:rsid w:val="009A6407"/>
    <w:rsid w:val="009B0FD9"/>
    <w:rsid w:val="009B2435"/>
    <w:rsid w:val="009B3A93"/>
    <w:rsid w:val="009B4E65"/>
    <w:rsid w:val="009B5B4C"/>
    <w:rsid w:val="009B6351"/>
    <w:rsid w:val="009B79D7"/>
    <w:rsid w:val="009C309D"/>
    <w:rsid w:val="009C4FBC"/>
    <w:rsid w:val="009D1E5B"/>
    <w:rsid w:val="009D29D6"/>
    <w:rsid w:val="009D3185"/>
    <w:rsid w:val="009D323D"/>
    <w:rsid w:val="009D4C8D"/>
    <w:rsid w:val="009D79BD"/>
    <w:rsid w:val="009E1F13"/>
    <w:rsid w:val="009E23E2"/>
    <w:rsid w:val="009E4000"/>
    <w:rsid w:val="009E51C7"/>
    <w:rsid w:val="009E664E"/>
    <w:rsid w:val="009E6FF7"/>
    <w:rsid w:val="009F0D68"/>
    <w:rsid w:val="009F2CD3"/>
    <w:rsid w:val="009F391A"/>
    <w:rsid w:val="009F3B09"/>
    <w:rsid w:val="009F452F"/>
    <w:rsid w:val="009F4EC9"/>
    <w:rsid w:val="009F5968"/>
    <w:rsid w:val="00A00A8B"/>
    <w:rsid w:val="00A02FD6"/>
    <w:rsid w:val="00A0579E"/>
    <w:rsid w:val="00A069B8"/>
    <w:rsid w:val="00A1024F"/>
    <w:rsid w:val="00A138D4"/>
    <w:rsid w:val="00A13E20"/>
    <w:rsid w:val="00A15330"/>
    <w:rsid w:val="00A1574B"/>
    <w:rsid w:val="00A171D3"/>
    <w:rsid w:val="00A267AA"/>
    <w:rsid w:val="00A27CAF"/>
    <w:rsid w:val="00A3319E"/>
    <w:rsid w:val="00A356C9"/>
    <w:rsid w:val="00A364F6"/>
    <w:rsid w:val="00A4188E"/>
    <w:rsid w:val="00A44E94"/>
    <w:rsid w:val="00A46433"/>
    <w:rsid w:val="00A4742D"/>
    <w:rsid w:val="00A5180F"/>
    <w:rsid w:val="00A52E02"/>
    <w:rsid w:val="00A60726"/>
    <w:rsid w:val="00A61D18"/>
    <w:rsid w:val="00A6418E"/>
    <w:rsid w:val="00A64E19"/>
    <w:rsid w:val="00A672D7"/>
    <w:rsid w:val="00A70067"/>
    <w:rsid w:val="00A7114A"/>
    <w:rsid w:val="00A72A00"/>
    <w:rsid w:val="00A73348"/>
    <w:rsid w:val="00A74FC7"/>
    <w:rsid w:val="00A81CCC"/>
    <w:rsid w:val="00A837F3"/>
    <w:rsid w:val="00A86B28"/>
    <w:rsid w:val="00A87B6D"/>
    <w:rsid w:val="00A914D4"/>
    <w:rsid w:val="00A9181A"/>
    <w:rsid w:val="00A91DA2"/>
    <w:rsid w:val="00A923B1"/>
    <w:rsid w:val="00A92ACC"/>
    <w:rsid w:val="00A93D67"/>
    <w:rsid w:val="00A965CD"/>
    <w:rsid w:val="00A96D5A"/>
    <w:rsid w:val="00AA08C5"/>
    <w:rsid w:val="00AA4B2A"/>
    <w:rsid w:val="00AA6FF6"/>
    <w:rsid w:val="00AB0EF3"/>
    <w:rsid w:val="00AB14B7"/>
    <w:rsid w:val="00AB1F6E"/>
    <w:rsid w:val="00AB20E7"/>
    <w:rsid w:val="00AB2A71"/>
    <w:rsid w:val="00AB3BAD"/>
    <w:rsid w:val="00AB48D6"/>
    <w:rsid w:val="00AB4EFC"/>
    <w:rsid w:val="00AB675E"/>
    <w:rsid w:val="00AB71EB"/>
    <w:rsid w:val="00AB7BEB"/>
    <w:rsid w:val="00AC05DD"/>
    <w:rsid w:val="00AC0EDC"/>
    <w:rsid w:val="00AC1309"/>
    <w:rsid w:val="00AC2CFF"/>
    <w:rsid w:val="00AC3271"/>
    <w:rsid w:val="00AD07FD"/>
    <w:rsid w:val="00AD1681"/>
    <w:rsid w:val="00AD2F01"/>
    <w:rsid w:val="00AD648F"/>
    <w:rsid w:val="00AD65A8"/>
    <w:rsid w:val="00AD6BB4"/>
    <w:rsid w:val="00AE6434"/>
    <w:rsid w:val="00AF09B7"/>
    <w:rsid w:val="00AF0FA2"/>
    <w:rsid w:val="00AF117A"/>
    <w:rsid w:val="00AF1255"/>
    <w:rsid w:val="00AF3756"/>
    <w:rsid w:val="00B0167F"/>
    <w:rsid w:val="00B0257E"/>
    <w:rsid w:val="00B02BB8"/>
    <w:rsid w:val="00B03B2B"/>
    <w:rsid w:val="00B04FD2"/>
    <w:rsid w:val="00B06882"/>
    <w:rsid w:val="00B07668"/>
    <w:rsid w:val="00B07A00"/>
    <w:rsid w:val="00B1228E"/>
    <w:rsid w:val="00B143C5"/>
    <w:rsid w:val="00B1567A"/>
    <w:rsid w:val="00B15F80"/>
    <w:rsid w:val="00B16373"/>
    <w:rsid w:val="00B1727E"/>
    <w:rsid w:val="00B2304A"/>
    <w:rsid w:val="00B2404B"/>
    <w:rsid w:val="00B24903"/>
    <w:rsid w:val="00B257B3"/>
    <w:rsid w:val="00B3055D"/>
    <w:rsid w:val="00B30B71"/>
    <w:rsid w:val="00B32F69"/>
    <w:rsid w:val="00B408F3"/>
    <w:rsid w:val="00B41799"/>
    <w:rsid w:val="00B4309B"/>
    <w:rsid w:val="00B43262"/>
    <w:rsid w:val="00B45A44"/>
    <w:rsid w:val="00B4666C"/>
    <w:rsid w:val="00B47BCF"/>
    <w:rsid w:val="00B5415B"/>
    <w:rsid w:val="00B54816"/>
    <w:rsid w:val="00B56DD0"/>
    <w:rsid w:val="00B61C89"/>
    <w:rsid w:val="00B64AD3"/>
    <w:rsid w:val="00B67F59"/>
    <w:rsid w:val="00B7035B"/>
    <w:rsid w:val="00B70433"/>
    <w:rsid w:val="00B7095F"/>
    <w:rsid w:val="00B7201A"/>
    <w:rsid w:val="00B72250"/>
    <w:rsid w:val="00B75CED"/>
    <w:rsid w:val="00B76029"/>
    <w:rsid w:val="00B77A11"/>
    <w:rsid w:val="00B84455"/>
    <w:rsid w:val="00B90EA3"/>
    <w:rsid w:val="00B91DF9"/>
    <w:rsid w:val="00B930FC"/>
    <w:rsid w:val="00B9433C"/>
    <w:rsid w:val="00B94F48"/>
    <w:rsid w:val="00BA1687"/>
    <w:rsid w:val="00BA4C44"/>
    <w:rsid w:val="00BA5890"/>
    <w:rsid w:val="00BA595A"/>
    <w:rsid w:val="00BA74BE"/>
    <w:rsid w:val="00BA774D"/>
    <w:rsid w:val="00BB0B1C"/>
    <w:rsid w:val="00BB2635"/>
    <w:rsid w:val="00BB278D"/>
    <w:rsid w:val="00BB3AC7"/>
    <w:rsid w:val="00BB3E75"/>
    <w:rsid w:val="00BB47E1"/>
    <w:rsid w:val="00BB5165"/>
    <w:rsid w:val="00BB5483"/>
    <w:rsid w:val="00BB5D96"/>
    <w:rsid w:val="00BC0435"/>
    <w:rsid w:val="00BC0A5D"/>
    <w:rsid w:val="00BC10C4"/>
    <w:rsid w:val="00BC27B4"/>
    <w:rsid w:val="00BC3520"/>
    <w:rsid w:val="00BC70B1"/>
    <w:rsid w:val="00BD1D52"/>
    <w:rsid w:val="00BD1DEB"/>
    <w:rsid w:val="00BD2700"/>
    <w:rsid w:val="00BD2F89"/>
    <w:rsid w:val="00BD36CE"/>
    <w:rsid w:val="00BD3C2A"/>
    <w:rsid w:val="00BD4CF5"/>
    <w:rsid w:val="00BD5EBC"/>
    <w:rsid w:val="00BD62C0"/>
    <w:rsid w:val="00BD6819"/>
    <w:rsid w:val="00BE10FA"/>
    <w:rsid w:val="00BE3F33"/>
    <w:rsid w:val="00BE5543"/>
    <w:rsid w:val="00BE581C"/>
    <w:rsid w:val="00BE5F25"/>
    <w:rsid w:val="00BE66B0"/>
    <w:rsid w:val="00BE6DE4"/>
    <w:rsid w:val="00BF57A7"/>
    <w:rsid w:val="00BF5E97"/>
    <w:rsid w:val="00BF6951"/>
    <w:rsid w:val="00C006E2"/>
    <w:rsid w:val="00C0108B"/>
    <w:rsid w:val="00C01B2D"/>
    <w:rsid w:val="00C0304E"/>
    <w:rsid w:val="00C07889"/>
    <w:rsid w:val="00C07C99"/>
    <w:rsid w:val="00C118A9"/>
    <w:rsid w:val="00C12FE5"/>
    <w:rsid w:val="00C131C4"/>
    <w:rsid w:val="00C13914"/>
    <w:rsid w:val="00C166F7"/>
    <w:rsid w:val="00C171A1"/>
    <w:rsid w:val="00C17D3A"/>
    <w:rsid w:val="00C224C7"/>
    <w:rsid w:val="00C26FE4"/>
    <w:rsid w:val="00C328F4"/>
    <w:rsid w:val="00C33A79"/>
    <w:rsid w:val="00C34594"/>
    <w:rsid w:val="00C357D1"/>
    <w:rsid w:val="00C42C72"/>
    <w:rsid w:val="00C42F26"/>
    <w:rsid w:val="00C44C5B"/>
    <w:rsid w:val="00C44D7C"/>
    <w:rsid w:val="00C51931"/>
    <w:rsid w:val="00C534B6"/>
    <w:rsid w:val="00C54ACA"/>
    <w:rsid w:val="00C54EF4"/>
    <w:rsid w:val="00C56211"/>
    <w:rsid w:val="00C62232"/>
    <w:rsid w:val="00C6469F"/>
    <w:rsid w:val="00C64B7B"/>
    <w:rsid w:val="00C65133"/>
    <w:rsid w:val="00C655A5"/>
    <w:rsid w:val="00C6637B"/>
    <w:rsid w:val="00C66626"/>
    <w:rsid w:val="00C6668C"/>
    <w:rsid w:val="00C668EE"/>
    <w:rsid w:val="00C67E12"/>
    <w:rsid w:val="00C70081"/>
    <w:rsid w:val="00C722E4"/>
    <w:rsid w:val="00C72375"/>
    <w:rsid w:val="00C72825"/>
    <w:rsid w:val="00C731EF"/>
    <w:rsid w:val="00C85F7D"/>
    <w:rsid w:val="00C866E9"/>
    <w:rsid w:val="00C955F9"/>
    <w:rsid w:val="00CA08BD"/>
    <w:rsid w:val="00CA1580"/>
    <w:rsid w:val="00CA519A"/>
    <w:rsid w:val="00CA540D"/>
    <w:rsid w:val="00CA60FF"/>
    <w:rsid w:val="00CA63DC"/>
    <w:rsid w:val="00CB061E"/>
    <w:rsid w:val="00CB4EA9"/>
    <w:rsid w:val="00CB4EF2"/>
    <w:rsid w:val="00CB61FB"/>
    <w:rsid w:val="00CC1BE1"/>
    <w:rsid w:val="00CC1C85"/>
    <w:rsid w:val="00CC384D"/>
    <w:rsid w:val="00CC3EAB"/>
    <w:rsid w:val="00CC55AD"/>
    <w:rsid w:val="00CC63AA"/>
    <w:rsid w:val="00CC78E3"/>
    <w:rsid w:val="00CD1D8D"/>
    <w:rsid w:val="00CD4932"/>
    <w:rsid w:val="00CD5512"/>
    <w:rsid w:val="00CE31D4"/>
    <w:rsid w:val="00CE3DED"/>
    <w:rsid w:val="00CE507E"/>
    <w:rsid w:val="00CF36BC"/>
    <w:rsid w:val="00CF7384"/>
    <w:rsid w:val="00D01496"/>
    <w:rsid w:val="00D0166B"/>
    <w:rsid w:val="00D01A3D"/>
    <w:rsid w:val="00D01D4C"/>
    <w:rsid w:val="00D03B3B"/>
    <w:rsid w:val="00D04A92"/>
    <w:rsid w:val="00D051B1"/>
    <w:rsid w:val="00D06702"/>
    <w:rsid w:val="00D06B90"/>
    <w:rsid w:val="00D11BB6"/>
    <w:rsid w:val="00D12E50"/>
    <w:rsid w:val="00D14CFB"/>
    <w:rsid w:val="00D1514D"/>
    <w:rsid w:val="00D15E8E"/>
    <w:rsid w:val="00D15EAB"/>
    <w:rsid w:val="00D16ECC"/>
    <w:rsid w:val="00D20C9B"/>
    <w:rsid w:val="00D233A2"/>
    <w:rsid w:val="00D24B86"/>
    <w:rsid w:val="00D25316"/>
    <w:rsid w:val="00D25C13"/>
    <w:rsid w:val="00D2626D"/>
    <w:rsid w:val="00D33324"/>
    <w:rsid w:val="00D37F39"/>
    <w:rsid w:val="00D40A46"/>
    <w:rsid w:val="00D40D6D"/>
    <w:rsid w:val="00D41B8F"/>
    <w:rsid w:val="00D42BEC"/>
    <w:rsid w:val="00D430C3"/>
    <w:rsid w:val="00D45A46"/>
    <w:rsid w:val="00D45DB6"/>
    <w:rsid w:val="00D50D07"/>
    <w:rsid w:val="00D53429"/>
    <w:rsid w:val="00D5429F"/>
    <w:rsid w:val="00D544D7"/>
    <w:rsid w:val="00D605C5"/>
    <w:rsid w:val="00D61D2A"/>
    <w:rsid w:val="00D6304E"/>
    <w:rsid w:val="00D637FA"/>
    <w:rsid w:val="00D6709C"/>
    <w:rsid w:val="00D8063E"/>
    <w:rsid w:val="00D8113D"/>
    <w:rsid w:val="00D81A5F"/>
    <w:rsid w:val="00D844B9"/>
    <w:rsid w:val="00D85300"/>
    <w:rsid w:val="00D86BBB"/>
    <w:rsid w:val="00D87912"/>
    <w:rsid w:val="00D91FBB"/>
    <w:rsid w:val="00D92A9E"/>
    <w:rsid w:val="00D9582C"/>
    <w:rsid w:val="00D95C26"/>
    <w:rsid w:val="00D96F3E"/>
    <w:rsid w:val="00DA0941"/>
    <w:rsid w:val="00DA427A"/>
    <w:rsid w:val="00DA49E6"/>
    <w:rsid w:val="00DA5736"/>
    <w:rsid w:val="00DB00F3"/>
    <w:rsid w:val="00DB0200"/>
    <w:rsid w:val="00DB07A2"/>
    <w:rsid w:val="00DB53AD"/>
    <w:rsid w:val="00DB5DA6"/>
    <w:rsid w:val="00DB5FDF"/>
    <w:rsid w:val="00DB60FC"/>
    <w:rsid w:val="00DB625B"/>
    <w:rsid w:val="00DC0094"/>
    <w:rsid w:val="00DC0B7B"/>
    <w:rsid w:val="00DC1555"/>
    <w:rsid w:val="00DC4AB2"/>
    <w:rsid w:val="00DC7D1C"/>
    <w:rsid w:val="00DD1CC7"/>
    <w:rsid w:val="00DD3CAE"/>
    <w:rsid w:val="00DD51C5"/>
    <w:rsid w:val="00DE1FF1"/>
    <w:rsid w:val="00DE43A4"/>
    <w:rsid w:val="00DE48D1"/>
    <w:rsid w:val="00DE7909"/>
    <w:rsid w:val="00DF17EB"/>
    <w:rsid w:val="00DF214E"/>
    <w:rsid w:val="00DF3FB7"/>
    <w:rsid w:val="00DF6FF3"/>
    <w:rsid w:val="00DF743F"/>
    <w:rsid w:val="00E003D4"/>
    <w:rsid w:val="00E02FF0"/>
    <w:rsid w:val="00E03DBB"/>
    <w:rsid w:val="00E04196"/>
    <w:rsid w:val="00E05AE3"/>
    <w:rsid w:val="00E13A06"/>
    <w:rsid w:val="00E16186"/>
    <w:rsid w:val="00E16483"/>
    <w:rsid w:val="00E16D86"/>
    <w:rsid w:val="00E17D38"/>
    <w:rsid w:val="00E22D40"/>
    <w:rsid w:val="00E25D78"/>
    <w:rsid w:val="00E26CD4"/>
    <w:rsid w:val="00E27701"/>
    <w:rsid w:val="00E27A8A"/>
    <w:rsid w:val="00E33EE2"/>
    <w:rsid w:val="00E347B5"/>
    <w:rsid w:val="00E353B0"/>
    <w:rsid w:val="00E36C7C"/>
    <w:rsid w:val="00E37BDC"/>
    <w:rsid w:val="00E37E1D"/>
    <w:rsid w:val="00E404DE"/>
    <w:rsid w:val="00E40618"/>
    <w:rsid w:val="00E42B29"/>
    <w:rsid w:val="00E4509C"/>
    <w:rsid w:val="00E45F73"/>
    <w:rsid w:val="00E47C02"/>
    <w:rsid w:val="00E507CF"/>
    <w:rsid w:val="00E50ECA"/>
    <w:rsid w:val="00E539E8"/>
    <w:rsid w:val="00E564A7"/>
    <w:rsid w:val="00E56AEF"/>
    <w:rsid w:val="00E576D5"/>
    <w:rsid w:val="00E610E6"/>
    <w:rsid w:val="00E6403E"/>
    <w:rsid w:val="00E65BFD"/>
    <w:rsid w:val="00E71534"/>
    <w:rsid w:val="00E7182B"/>
    <w:rsid w:val="00E766A2"/>
    <w:rsid w:val="00E76A7B"/>
    <w:rsid w:val="00E76D63"/>
    <w:rsid w:val="00E77A60"/>
    <w:rsid w:val="00E85164"/>
    <w:rsid w:val="00E859A8"/>
    <w:rsid w:val="00E8690C"/>
    <w:rsid w:val="00E94D80"/>
    <w:rsid w:val="00E97866"/>
    <w:rsid w:val="00EA1082"/>
    <w:rsid w:val="00EA4518"/>
    <w:rsid w:val="00EA6328"/>
    <w:rsid w:val="00EA659D"/>
    <w:rsid w:val="00EA6C58"/>
    <w:rsid w:val="00EB0CC3"/>
    <w:rsid w:val="00EB23B2"/>
    <w:rsid w:val="00EB4162"/>
    <w:rsid w:val="00EB4F32"/>
    <w:rsid w:val="00EB601C"/>
    <w:rsid w:val="00EB64E2"/>
    <w:rsid w:val="00EB66AA"/>
    <w:rsid w:val="00EC178A"/>
    <w:rsid w:val="00EC1DD5"/>
    <w:rsid w:val="00EC231F"/>
    <w:rsid w:val="00EC4ACC"/>
    <w:rsid w:val="00EC637F"/>
    <w:rsid w:val="00ED2EB2"/>
    <w:rsid w:val="00ED2F42"/>
    <w:rsid w:val="00ED6EE5"/>
    <w:rsid w:val="00ED755E"/>
    <w:rsid w:val="00EE0FEA"/>
    <w:rsid w:val="00EE19C0"/>
    <w:rsid w:val="00EE1C90"/>
    <w:rsid w:val="00EE323B"/>
    <w:rsid w:val="00EE3301"/>
    <w:rsid w:val="00EE5EE5"/>
    <w:rsid w:val="00EE7793"/>
    <w:rsid w:val="00EF0710"/>
    <w:rsid w:val="00EF0BCB"/>
    <w:rsid w:val="00EF1E39"/>
    <w:rsid w:val="00EF2B25"/>
    <w:rsid w:val="00EF3A45"/>
    <w:rsid w:val="00EF4B61"/>
    <w:rsid w:val="00EF5C57"/>
    <w:rsid w:val="00EF6210"/>
    <w:rsid w:val="00EF707B"/>
    <w:rsid w:val="00F000C1"/>
    <w:rsid w:val="00F013B8"/>
    <w:rsid w:val="00F043F6"/>
    <w:rsid w:val="00F04464"/>
    <w:rsid w:val="00F04E4B"/>
    <w:rsid w:val="00F12A48"/>
    <w:rsid w:val="00F13CB4"/>
    <w:rsid w:val="00F15507"/>
    <w:rsid w:val="00F164F6"/>
    <w:rsid w:val="00F176B2"/>
    <w:rsid w:val="00F17FEB"/>
    <w:rsid w:val="00F22AE4"/>
    <w:rsid w:val="00F24367"/>
    <w:rsid w:val="00F24569"/>
    <w:rsid w:val="00F25FF8"/>
    <w:rsid w:val="00F3004B"/>
    <w:rsid w:val="00F300F6"/>
    <w:rsid w:val="00F33B26"/>
    <w:rsid w:val="00F4359D"/>
    <w:rsid w:val="00F455AD"/>
    <w:rsid w:val="00F50809"/>
    <w:rsid w:val="00F5082D"/>
    <w:rsid w:val="00F52F23"/>
    <w:rsid w:val="00F5492B"/>
    <w:rsid w:val="00F55E2B"/>
    <w:rsid w:val="00F6067A"/>
    <w:rsid w:val="00F6132D"/>
    <w:rsid w:val="00F61D77"/>
    <w:rsid w:val="00F61F34"/>
    <w:rsid w:val="00F61FDB"/>
    <w:rsid w:val="00F631E3"/>
    <w:rsid w:val="00F64BD4"/>
    <w:rsid w:val="00F6533B"/>
    <w:rsid w:val="00F65EE6"/>
    <w:rsid w:val="00F67BAB"/>
    <w:rsid w:val="00F70897"/>
    <w:rsid w:val="00F70A7F"/>
    <w:rsid w:val="00F71B7E"/>
    <w:rsid w:val="00F72557"/>
    <w:rsid w:val="00F72F1E"/>
    <w:rsid w:val="00F74851"/>
    <w:rsid w:val="00F767AB"/>
    <w:rsid w:val="00F8166E"/>
    <w:rsid w:val="00F81F9F"/>
    <w:rsid w:val="00F82734"/>
    <w:rsid w:val="00F84B74"/>
    <w:rsid w:val="00F900FC"/>
    <w:rsid w:val="00F901F8"/>
    <w:rsid w:val="00F903EF"/>
    <w:rsid w:val="00F90C69"/>
    <w:rsid w:val="00F90F5D"/>
    <w:rsid w:val="00F93100"/>
    <w:rsid w:val="00F95AED"/>
    <w:rsid w:val="00F97304"/>
    <w:rsid w:val="00F97EA5"/>
    <w:rsid w:val="00FA56C0"/>
    <w:rsid w:val="00FA5885"/>
    <w:rsid w:val="00FB1FA9"/>
    <w:rsid w:val="00FB2406"/>
    <w:rsid w:val="00FB5CFA"/>
    <w:rsid w:val="00FB5FF2"/>
    <w:rsid w:val="00FB796A"/>
    <w:rsid w:val="00FC2793"/>
    <w:rsid w:val="00FC3A76"/>
    <w:rsid w:val="00FC52E9"/>
    <w:rsid w:val="00FC6C40"/>
    <w:rsid w:val="00FC7B14"/>
    <w:rsid w:val="00FD033E"/>
    <w:rsid w:val="00FD0938"/>
    <w:rsid w:val="00FD28ED"/>
    <w:rsid w:val="00FD399C"/>
    <w:rsid w:val="00FD3D7F"/>
    <w:rsid w:val="00FD4774"/>
    <w:rsid w:val="00FD6637"/>
    <w:rsid w:val="00FD7325"/>
    <w:rsid w:val="00FD75A0"/>
    <w:rsid w:val="00FE120E"/>
    <w:rsid w:val="00FE3DC7"/>
    <w:rsid w:val="00FE45A9"/>
    <w:rsid w:val="00FE6FE5"/>
    <w:rsid w:val="00FF00D0"/>
    <w:rsid w:val="00FF00E8"/>
    <w:rsid w:val="00FF0630"/>
    <w:rsid w:val="00FF0D60"/>
    <w:rsid w:val="00FF2212"/>
    <w:rsid w:val="00FF3A8A"/>
    <w:rsid w:val="00FF4067"/>
    <w:rsid w:val="00FF41B7"/>
    <w:rsid w:val="00FF4E95"/>
    <w:rsid w:val="00FF77DB"/>
    <w:rsid w:val="00FF79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35" w:qFormat="1"/>
    <w:lsdException w:name="footnote reference" w:uiPriority="0"/>
    <w:lsdException w:name="annotation reference"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E1D"/>
  </w:style>
  <w:style w:type="paragraph" w:styleId="Titolo1">
    <w:name w:val="heading 1"/>
    <w:basedOn w:val="Normale"/>
    <w:next w:val="Normale"/>
    <w:link w:val="Titolo1Carattere"/>
    <w:qFormat/>
    <w:rsid w:val="00E37E1D"/>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Titolo2">
    <w:name w:val="heading 2"/>
    <w:basedOn w:val="Normale"/>
    <w:next w:val="Normale"/>
    <w:link w:val="Titolo2Carattere"/>
    <w:unhideWhenUsed/>
    <w:qFormat/>
    <w:rsid w:val="00E37E1D"/>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Titolo3">
    <w:name w:val="heading 3"/>
    <w:basedOn w:val="Normale"/>
    <w:next w:val="Normale"/>
    <w:link w:val="Titolo3Carattere"/>
    <w:unhideWhenUsed/>
    <w:qFormat/>
    <w:rsid w:val="00E37E1D"/>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Titolo4">
    <w:name w:val="heading 4"/>
    <w:basedOn w:val="Normale"/>
    <w:next w:val="Normale"/>
    <w:link w:val="Titolo4Carattere"/>
    <w:unhideWhenUsed/>
    <w:qFormat/>
    <w:rsid w:val="00E37E1D"/>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Titolo5">
    <w:name w:val="heading 5"/>
    <w:basedOn w:val="Normale"/>
    <w:next w:val="Normale"/>
    <w:link w:val="Titolo5Carattere"/>
    <w:unhideWhenUsed/>
    <w:qFormat/>
    <w:rsid w:val="00E37E1D"/>
    <w:pPr>
      <w:keepNext/>
      <w:keepLines/>
      <w:spacing w:before="40" w:after="0"/>
      <w:outlineLvl w:val="4"/>
    </w:pPr>
    <w:rPr>
      <w:rFonts w:asciiTheme="majorHAnsi" w:eastAsiaTheme="majorEastAsia" w:hAnsiTheme="majorHAnsi" w:cstheme="majorBidi"/>
      <w:caps/>
      <w:color w:val="374C80" w:themeColor="accent1" w:themeShade="BF"/>
    </w:rPr>
  </w:style>
  <w:style w:type="paragraph" w:styleId="Titolo6">
    <w:name w:val="heading 6"/>
    <w:basedOn w:val="Normale"/>
    <w:next w:val="Normale"/>
    <w:link w:val="Titolo6Carattere"/>
    <w:uiPriority w:val="9"/>
    <w:unhideWhenUsed/>
    <w:qFormat/>
    <w:rsid w:val="00E37E1D"/>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Titolo7">
    <w:name w:val="heading 7"/>
    <w:basedOn w:val="Normale"/>
    <w:next w:val="Normale"/>
    <w:link w:val="Titolo7Carattere"/>
    <w:uiPriority w:val="9"/>
    <w:unhideWhenUsed/>
    <w:qFormat/>
    <w:rsid w:val="00E37E1D"/>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Titolo8">
    <w:name w:val="heading 8"/>
    <w:basedOn w:val="Normale"/>
    <w:next w:val="Normale"/>
    <w:link w:val="Titolo8Carattere"/>
    <w:uiPriority w:val="9"/>
    <w:unhideWhenUsed/>
    <w:qFormat/>
    <w:rsid w:val="00E37E1D"/>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Titolo9">
    <w:name w:val="heading 9"/>
    <w:basedOn w:val="Normale"/>
    <w:next w:val="Normale"/>
    <w:link w:val="Titolo9Carattere"/>
    <w:uiPriority w:val="9"/>
    <w:semiHidden/>
    <w:unhideWhenUsed/>
    <w:qFormat/>
    <w:rsid w:val="00E37E1D"/>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37E1D"/>
    <w:rPr>
      <w:rFonts w:asciiTheme="majorHAnsi" w:eastAsiaTheme="majorEastAsia" w:hAnsiTheme="majorHAnsi" w:cstheme="majorBidi"/>
      <w:color w:val="253356" w:themeColor="accent1" w:themeShade="80"/>
      <w:sz w:val="36"/>
      <w:szCs w:val="36"/>
    </w:rPr>
  </w:style>
  <w:style w:type="character" w:customStyle="1" w:styleId="Titolo2Carattere">
    <w:name w:val="Titolo 2 Carattere"/>
    <w:basedOn w:val="Carpredefinitoparagrafo"/>
    <w:link w:val="Titolo2"/>
    <w:qFormat/>
    <w:rsid w:val="00E37E1D"/>
    <w:rPr>
      <w:rFonts w:asciiTheme="majorHAnsi" w:eastAsiaTheme="majorEastAsia" w:hAnsiTheme="majorHAnsi" w:cstheme="majorBidi"/>
      <w:color w:val="374C80" w:themeColor="accent1" w:themeShade="BF"/>
      <w:sz w:val="32"/>
      <w:szCs w:val="32"/>
    </w:rPr>
  </w:style>
  <w:style w:type="character" w:customStyle="1" w:styleId="Titolo3Carattere">
    <w:name w:val="Titolo 3 Carattere"/>
    <w:basedOn w:val="Carpredefinitoparagrafo"/>
    <w:link w:val="Titolo3"/>
    <w:uiPriority w:val="9"/>
    <w:rsid w:val="00E37E1D"/>
    <w:rPr>
      <w:rFonts w:asciiTheme="majorHAnsi" w:eastAsiaTheme="majorEastAsia" w:hAnsiTheme="majorHAnsi" w:cstheme="majorBidi"/>
      <w:color w:val="374C80" w:themeColor="accent1" w:themeShade="BF"/>
      <w:sz w:val="28"/>
      <w:szCs w:val="28"/>
    </w:rPr>
  </w:style>
  <w:style w:type="character" w:customStyle="1" w:styleId="Titolo4Carattere">
    <w:name w:val="Titolo 4 Carattere"/>
    <w:basedOn w:val="Carpredefinitoparagrafo"/>
    <w:link w:val="Titolo4"/>
    <w:uiPriority w:val="9"/>
    <w:rsid w:val="00E37E1D"/>
    <w:rPr>
      <w:rFonts w:asciiTheme="majorHAnsi" w:eastAsiaTheme="majorEastAsia" w:hAnsiTheme="majorHAnsi" w:cstheme="majorBidi"/>
      <w:color w:val="374C80" w:themeColor="accent1" w:themeShade="BF"/>
      <w:sz w:val="24"/>
      <w:szCs w:val="24"/>
    </w:rPr>
  </w:style>
  <w:style w:type="character" w:customStyle="1" w:styleId="Titolo5Carattere">
    <w:name w:val="Titolo 5 Carattere"/>
    <w:basedOn w:val="Carpredefinitoparagrafo"/>
    <w:link w:val="Titolo5"/>
    <w:uiPriority w:val="9"/>
    <w:rsid w:val="00E37E1D"/>
    <w:rPr>
      <w:rFonts w:asciiTheme="majorHAnsi" w:eastAsiaTheme="majorEastAsia" w:hAnsiTheme="majorHAnsi" w:cstheme="majorBidi"/>
      <w:caps/>
      <w:color w:val="374C80" w:themeColor="accent1" w:themeShade="BF"/>
    </w:rPr>
  </w:style>
  <w:style w:type="character" w:customStyle="1" w:styleId="Titolo6Carattere">
    <w:name w:val="Titolo 6 Carattere"/>
    <w:basedOn w:val="Carpredefinitoparagrafo"/>
    <w:link w:val="Titolo6"/>
    <w:uiPriority w:val="9"/>
    <w:rsid w:val="00E37E1D"/>
    <w:rPr>
      <w:rFonts w:asciiTheme="majorHAnsi" w:eastAsiaTheme="majorEastAsia" w:hAnsiTheme="majorHAnsi" w:cstheme="majorBidi"/>
      <w:i/>
      <w:iCs/>
      <w:caps/>
      <w:color w:val="253356" w:themeColor="accent1" w:themeShade="80"/>
    </w:rPr>
  </w:style>
  <w:style w:type="character" w:customStyle="1" w:styleId="Titolo7Carattere">
    <w:name w:val="Titolo 7 Carattere"/>
    <w:basedOn w:val="Carpredefinitoparagrafo"/>
    <w:link w:val="Titolo7"/>
    <w:uiPriority w:val="9"/>
    <w:rsid w:val="00E37E1D"/>
    <w:rPr>
      <w:rFonts w:asciiTheme="majorHAnsi" w:eastAsiaTheme="majorEastAsia" w:hAnsiTheme="majorHAnsi" w:cstheme="majorBidi"/>
      <w:b/>
      <w:bCs/>
      <w:color w:val="253356" w:themeColor="accent1" w:themeShade="80"/>
    </w:rPr>
  </w:style>
  <w:style w:type="character" w:customStyle="1" w:styleId="Titolo8Carattere">
    <w:name w:val="Titolo 8 Carattere"/>
    <w:basedOn w:val="Carpredefinitoparagrafo"/>
    <w:link w:val="Titolo8"/>
    <w:uiPriority w:val="9"/>
    <w:rsid w:val="00E37E1D"/>
    <w:rPr>
      <w:rFonts w:asciiTheme="majorHAnsi" w:eastAsiaTheme="majorEastAsia" w:hAnsiTheme="majorHAnsi" w:cstheme="majorBidi"/>
      <w:b/>
      <w:bCs/>
      <w:i/>
      <w:iCs/>
      <w:color w:val="253356" w:themeColor="accent1" w:themeShade="80"/>
    </w:rPr>
  </w:style>
  <w:style w:type="character" w:customStyle="1" w:styleId="Titolo9Carattere">
    <w:name w:val="Titolo 9 Carattere"/>
    <w:basedOn w:val="Carpredefinitoparagrafo"/>
    <w:link w:val="Titolo9"/>
    <w:uiPriority w:val="9"/>
    <w:semiHidden/>
    <w:rsid w:val="00E37E1D"/>
    <w:rPr>
      <w:rFonts w:asciiTheme="majorHAnsi" w:eastAsiaTheme="majorEastAsia" w:hAnsiTheme="majorHAnsi" w:cstheme="majorBidi"/>
      <w:i/>
      <w:iCs/>
      <w:color w:val="253356" w:themeColor="accent1" w:themeShade="80"/>
    </w:rPr>
  </w:style>
  <w:style w:type="paragraph" w:customStyle="1" w:styleId="footnotedescription">
    <w:name w:val="footnote description"/>
    <w:next w:val="Normale"/>
    <w:link w:val="footnotedescriptionChar"/>
    <w:hidden/>
    <w:rsid w:val="00534581"/>
    <w:pPr>
      <w:spacing w:after="0" w:line="236" w:lineRule="auto"/>
      <w:ind w:left="283" w:right="87"/>
      <w:jc w:val="both"/>
    </w:pPr>
    <w:rPr>
      <w:rFonts w:ascii="Calibri" w:eastAsia="Calibri" w:hAnsi="Calibri" w:cs="Calibri"/>
      <w:color w:val="000000"/>
      <w:sz w:val="18"/>
    </w:rPr>
  </w:style>
  <w:style w:type="character" w:customStyle="1" w:styleId="footnotedescriptionChar">
    <w:name w:val="footnote description Char"/>
    <w:link w:val="footnotedescription"/>
    <w:rsid w:val="00534581"/>
    <w:rPr>
      <w:rFonts w:ascii="Calibri" w:eastAsia="Calibri" w:hAnsi="Calibri" w:cs="Calibri"/>
      <w:color w:val="000000"/>
      <w:sz w:val="18"/>
    </w:rPr>
  </w:style>
  <w:style w:type="character" w:customStyle="1" w:styleId="footnotemark">
    <w:name w:val="footnote mark"/>
    <w:hidden/>
    <w:rsid w:val="00534581"/>
    <w:rPr>
      <w:rFonts w:ascii="Calibri" w:eastAsia="Calibri" w:hAnsi="Calibri" w:cs="Calibri"/>
      <w:color w:val="000000"/>
      <w:sz w:val="18"/>
      <w:vertAlign w:val="superscript"/>
    </w:rPr>
  </w:style>
  <w:style w:type="table" w:customStyle="1" w:styleId="TableGrid">
    <w:name w:val="TableGrid"/>
    <w:rsid w:val="00534581"/>
    <w:pPr>
      <w:spacing w:after="0" w:line="240" w:lineRule="auto"/>
    </w:pPr>
    <w:tblPr>
      <w:tblCellMar>
        <w:top w:w="0" w:type="dxa"/>
        <w:left w:w="0" w:type="dxa"/>
        <w:bottom w:w="0" w:type="dxa"/>
        <w:right w:w="0" w:type="dxa"/>
      </w:tblCellMar>
    </w:tblPr>
  </w:style>
  <w:style w:type="paragraph" w:styleId="Didascalia">
    <w:name w:val="caption"/>
    <w:basedOn w:val="Normale"/>
    <w:next w:val="Normale"/>
    <w:uiPriority w:val="35"/>
    <w:semiHidden/>
    <w:unhideWhenUsed/>
    <w:qFormat/>
    <w:rsid w:val="00E37E1D"/>
    <w:pPr>
      <w:spacing w:line="240" w:lineRule="auto"/>
    </w:pPr>
    <w:rPr>
      <w:b/>
      <w:bCs/>
      <w:smallCaps/>
      <w:color w:val="242852" w:themeColor="text2"/>
    </w:rPr>
  </w:style>
  <w:style w:type="paragraph" w:styleId="Titolo">
    <w:name w:val="Title"/>
    <w:basedOn w:val="Normale"/>
    <w:next w:val="Normale"/>
    <w:link w:val="TitoloCarattere"/>
    <w:uiPriority w:val="10"/>
    <w:qFormat/>
    <w:rsid w:val="00E37E1D"/>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oloCarattere">
    <w:name w:val="Titolo Carattere"/>
    <w:basedOn w:val="Carpredefinitoparagrafo"/>
    <w:link w:val="Titolo"/>
    <w:uiPriority w:val="10"/>
    <w:rsid w:val="00E37E1D"/>
    <w:rPr>
      <w:rFonts w:asciiTheme="majorHAnsi" w:eastAsiaTheme="majorEastAsia" w:hAnsiTheme="majorHAnsi" w:cstheme="majorBidi"/>
      <w:caps/>
      <w:color w:val="242852" w:themeColor="text2"/>
      <w:spacing w:val="-15"/>
      <w:sz w:val="72"/>
      <w:szCs w:val="72"/>
    </w:rPr>
  </w:style>
  <w:style w:type="paragraph" w:styleId="Sottotitolo">
    <w:name w:val="Subtitle"/>
    <w:basedOn w:val="Normale"/>
    <w:next w:val="Normale"/>
    <w:link w:val="SottotitoloCarattere"/>
    <w:uiPriority w:val="11"/>
    <w:qFormat/>
    <w:rsid w:val="00E37E1D"/>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ottotitoloCarattere">
    <w:name w:val="Sottotitolo Carattere"/>
    <w:basedOn w:val="Carpredefinitoparagrafo"/>
    <w:link w:val="Sottotitolo"/>
    <w:uiPriority w:val="11"/>
    <w:rsid w:val="00E37E1D"/>
    <w:rPr>
      <w:rFonts w:asciiTheme="majorHAnsi" w:eastAsiaTheme="majorEastAsia" w:hAnsiTheme="majorHAnsi" w:cstheme="majorBidi"/>
      <w:color w:val="4A66AC" w:themeColor="accent1"/>
      <w:sz w:val="28"/>
      <w:szCs w:val="28"/>
    </w:rPr>
  </w:style>
  <w:style w:type="character" w:styleId="Enfasigrassetto">
    <w:name w:val="Strong"/>
    <w:basedOn w:val="Carpredefinitoparagrafo"/>
    <w:uiPriority w:val="22"/>
    <w:qFormat/>
    <w:rsid w:val="00E37E1D"/>
    <w:rPr>
      <w:b/>
      <w:bCs/>
    </w:rPr>
  </w:style>
  <w:style w:type="character" w:styleId="Enfasicorsivo">
    <w:name w:val="Emphasis"/>
    <w:basedOn w:val="Carpredefinitoparagrafo"/>
    <w:uiPriority w:val="20"/>
    <w:qFormat/>
    <w:rsid w:val="00E37E1D"/>
    <w:rPr>
      <w:i/>
      <w:iCs/>
    </w:rPr>
  </w:style>
  <w:style w:type="paragraph" w:styleId="Nessunaspaziatura">
    <w:name w:val="No Spacing"/>
    <w:link w:val="NessunaspaziaturaCarattere"/>
    <w:uiPriority w:val="1"/>
    <w:qFormat/>
    <w:rsid w:val="00E37E1D"/>
    <w:pPr>
      <w:spacing w:after="0" w:line="240" w:lineRule="auto"/>
    </w:pPr>
  </w:style>
  <w:style w:type="character" w:customStyle="1" w:styleId="NessunaspaziaturaCarattere">
    <w:name w:val="Nessuna spaziatura Carattere"/>
    <w:basedOn w:val="Carpredefinitoparagrafo"/>
    <w:link w:val="Nessunaspaziatura"/>
    <w:uiPriority w:val="1"/>
    <w:rsid w:val="00EE19C0"/>
  </w:style>
  <w:style w:type="paragraph" w:styleId="Citazione">
    <w:name w:val="Quote"/>
    <w:basedOn w:val="Normale"/>
    <w:next w:val="Normale"/>
    <w:link w:val="CitazioneCarattere"/>
    <w:uiPriority w:val="29"/>
    <w:qFormat/>
    <w:rsid w:val="00E37E1D"/>
    <w:pPr>
      <w:spacing w:before="120" w:after="120"/>
      <w:ind w:left="720"/>
    </w:pPr>
    <w:rPr>
      <w:color w:val="242852" w:themeColor="text2"/>
      <w:sz w:val="24"/>
      <w:szCs w:val="24"/>
    </w:rPr>
  </w:style>
  <w:style w:type="character" w:customStyle="1" w:styleId="CitazioneCarattere">
    <w:name w:val="Citazione Carattere"/>
    <w:basedOn w:val="Carpredefinitoparagrafo"/>
    <w:link w:val="Citazione"/>
    <w:uiPriority w:val="29"/>
    <w:rsid w:val="00E37E1D"/>
    <w:rPr>
      <w:color w:val="242852" w:themeColor="text2"/>
      <w:sz w:val="24"/>
      <w:szCs w:val="24"/>
    </w:rPr>
  </w:style>
  <w:style w:type="paragraph" w:styleId="Citazioneintensa">
    <w:name w:val="Intense Quote"/>
    <w:basedOn w:val="Normale"/>
    <w:next w:val="Normale"/>
    <w:link w:val="CitazioneintensaCarattere"/>
    <w:uiPriority w:val="30"/>
    <w:qFormat/>
    <w:rsid w:val="00E37E1D"/>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CitazioneintensaCarattere">
    <w:name w:val="Citazione intensa Carattere"/>
    <w:basedOn w:val="Carpredefinitoparagrafo"/>
    <w:link w:val="Citazioneintensa"/>
    <w:uiPriority w:val="30"/>
    <w:rsid w:val="00E37E1D"/>
    <w:rPr>
      <w:rFonts w:asciiTheme="majorHAnsi" w:eastAsiaTheme="majorEastAsia" w:hAnsiTheme="majorHAnsi" w:cstheme="majorBidi"/>
      <w:color w:val="242852" w:themeColor="text2"/>
      <w:spacing w:val="-6"/>
      <w:sz w:val="32"/>
      <w:szCs w:val="32"/>
    </w:rPr>
  </w:style>
  <w:style w:type="character" w:styleId="Enfasidelicata">
    <w:name w:val="Subtle Emphasis"/>
    <w:basedOn w:val="Carpredefinitoparagrafo"/>
    <w:uiPriority w:val="19"/>
    <w:qFormat/>
    <w:rsid w:val="00E37E1D"/>
    <w:rPr>
      <w:i/>
      <w:iCs/>
      <w:color w:val="595959" w:themeColor="text1" w:themeTint="A6"/>
    </w:rPr>
  </w:style>
  <w:style w:type="character" w:styleId="Enfasiintensa">
    <w:name w:val="Intense Emphasis"/>
    <w:basedOn w:val="Carpredefinitoparagrafo"/>
    <w:uiPriority w:val="21"/>
    <w:qFormat/>
    <w:rsid w:val="00E37E1D"/>
    <w:rPr>
      <w:b/>
      <w:bCs/>
      <w:i/>
      <w:iCs/>
    </w:rPr>
  </w:style>
  <w:style w:type="character" w:styleId="Riferimentodelicato">
    <w:name w:val="Subtle Reference"/>
    <w:basedOn w:val="Carpredefinitoparagrafo"/>
    <w:uiPriority w:val="31"/>
    <w:qFormat/>
    <w:rsid w:val="00E37E1D"/>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E37E1D"/>
    <w:rPr>
      <w:b/>
      <w:bCs/>
      <w:smallCaps/>
      <w:color w:val="242852" w:themeColor="text2"/>
      <w:u w:val="single"/>
    </w:rPr>
  </w:style>
  <w:style w:type="character" w:styleId="Titolodellibro">
    <w:name w:val="Book Title"/>
    <w:basedOn w:val="Carpredefinitoparagrafo"/>
    <w:uiPriority w:val="33"/>
    <w:qFormat/>
    <w:rsid w:val="00E37E1D"/>
    <w:rPr>
      <w:b/>
      <w:bCs/>
      <w:smallCaps/>
      <w:spacing w:val="10"/>
    </w:rPr>
  </w:style>
  <w:style w:type="paragraph" w:styleId="Titolosommario">
    <w:name w:val="TOC Heading"/>
    <w:basedOn w:val="Titolo1"/>
    <w:next w:val="Normale"/>
    <w:uiPriority w:val="39"/>
    <w:unhideWhenUsed/>
    <w:qFormat/>
    <w:rsid w:val="00E37E1D"/>
    <w:pPr>
      <w:outlineLvl w:val="9"/>
    </w:pPr>
  </w:style>
  <w:style w:type="paragraph" w:styleId="Intestazione">
    <w:name w:val="header"/>
    <w:basedOn w:val="Normale"/>
    <w:link w:val="IntestazioneCarattere"/>
    <w:unhideWhenUsed/>
    <w:rsid w:val="00EE19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E19C0"/>
  </w:style>
  <w:style w:type="paragraph" w:styleId="Sommario2">
    <w:name w:val="toc 2"/>
    <w:basedOn w:val="Normale"/>
    <w:next w:val="Normale"/>
    <w:autoRedefine/>
    <w:uiPriority w:val="39"/>
    <w:unhideWhenUsed/>
    <w:rsid w:val="00295C22"/>
    <w:pPr>
      <w:tabs>
        <w:tab w:val="right" w:leader="dot" w:pos="10336"/>
      </w:tabs>
      <w:spacing w:after="100"/>
      <w:ind w:left="220"/>
    </w:pPr>
  </w:style>
  <w:style w:type="paragraph" w:styleId="Sommario3">
    <w:name w:val="toc 3"/>
    <w:basedOn w:val="Normale"/>
    <w:next w:val="Normale"/>
    <w:autoRedefine/>
    <w:uiPriority w:val="39"/>
    <w:unhideWhenUsed/>
    <w:rsid w:val="00207912"/>
    <w:pPr>
      <w:spacing w:after="100"/>
      <w:ind w:left="440"/>
    </w:pPr>
  </w:style>
  <w:style w:type="character" w:styleId="Collegamentoipertestuale">
    <w:name w:val="Hyperlink"/>
    <w:basedOn w:val="Carpredefinitoparagrafo"/>
    <w:uiPriority w:val="99"/>
    <w:unhideWhenUsed/>
    <w:rsid w:val="00207912"/>
    <w:rPr>
      <w:color w:val="9454C3" w:themeColor="hyperlink"/>
      <w:u w:val="single"/>
    </w:rPr>
  </w:style>
  <w:style w:type="paragraph" w:styleId="Pidipagina">
    <w:name w:val="footer"/>
    <w:basedOn w:val="Normale"/>
    <w:link w:val="PidipaginaCarattere"/>
    <w:uiPriority w:val="99"/>
    <w:unhideWhenUsed/>
    <w:rsid w:val="007D3987"/>
    <w:pPr>
      <w:tabs>
        <w:tab w:val="center" w:pos="4680"/>
        <w:tab w:val="right" w:pos="9360"/>
      </w:tabs>
      <w:spacing w:after="0" w:line="240" w:lineRule="auto"/>
    </w:pPr>
    <w:rPr>
      <w:rFonts w:cs="Times New Roman"/>
    </w:rPr>
  </w:style>
  <w:style w:type="character" w:customStyle="1" w:styleId="PidipaginaCarattere">
    <w:name w:val="Piè di pagina Carattere"/>
    <w:basedOn w:val="Carpredefinitoparagrafo"/>
    <w:link w:val="Pidipagina"/>
    <w:uiPriority w:val="99"/>
    <w:rsid w:val="007D3987"/>
    <w:rPr>
      <w:rFonts w:cs="Times New Roman"/>
    </w:rPr>
  </w:style>
  <w:style w:type="paragraph" w:styleId="Paragrafoelenco">
    <w:name w:val="List Paragraph"/>
    <w:basedOn w:val="Normale"/>
    <w:uiPriority w:val="34"/>
    <w:qFormat/>
    <w:rsid w:val="00D86BBB"/>
    <w:pPr>
      <w:ind w:left="720"/>
      <w:contextualSpacing/>
    </w:pPr>
  </w:style>
  <w:style w:type="paragraph" w:styleId="Sommario1">
    <w:name w:val="toc 1"/>
    <w:basedOn w:val="Normale"/>
    <w:next w:val="Normale"/>
    <w:autoRedefine/>
    <w:uiPriority w:val="39"/>
    <w:unhideWhenUsed/>
    <w:rsid w:val="009F2CD3"/>
    <w:pPr>
      <w:spacing w:after="100"/>
    </w:pPr>
    <w:rPr>
      <w:rFonts w:cs="Times New Roman"/>
    </w:rPr>
  </w:style>
  <w:style w:type="table" w:customStyle="1" w:styleId="TableGrid1">
    <w:name w:val="TableGrid1"/>
    <w:rsid w:val="00F903EF"/>
    <w:pPr>
      <w:spacing w:after="0" w:line="240" w:lineRule="auto"/>
    </w:pPr>
    <w:tblPr>
      <w:tblCellMar>
        <w:top w:w="0" w:type="dxa"/>
        <w:left w:w="0" w:type="dxa"/>
        <w:bottom w:w="0" w:type="dxa"/>
        <w:right w:w="0" w:type="dxa"/>
      </w:tblCellMar>
    </w:tblPr>
  </w:style>
  <w:style w:type="table" w:styleId="Grigliatabella">
    <w:name w:val="Table Grid"/>
    <w:basedOn w:val="Tabellanormale"/>
    <w:rsid w:val="00C07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e"/>
    <w:next w:val="Normale"/>
    <w:uiPriority w:val="99"/>
    <w:rsid w:val="00597F66"/>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e"/>
    <w:next w:val="Normale"/>
    <w:uiPriority w:val="99"/>
    <w:rsid w:val="00597F66"/>
    <w:pPr>
      <w:autoSpaceDE w:val="0"/>
      <w:autoSpaceDN w:val="0"/>
      <w:adjustRightInd w:val="0"/>
      <w:spacing w:after="0" w:line="240" w:lineRule="auto"/>
    </w:pPr>
    <w:rPr>
      <w:rFonts w:ascii="Times New Roman" w:hAnsi="Times New Roman" w:cs="Times New Roman"/>
      <w:sz w:val="24"/>
      <w:szCs w:val="24"/>
    </w:rPr>
  </w:style>
  <w:style w:type="paragraph" w:customStyle="1" w:styleId="CM4">
    <w:name w:val="CM4"/>
    <w:basedOn w:val="Normale"/>
    <w:next w:val="Normale"/>
    <w:uiPriority w:val="99"/>
    <w:rsid w:val="00597F66"/>
    <w:pPr>
      <w:autoSpaceDE w:val="0"/>
      <w:autoSpaceDN w:val="0"/>
      <w:adjustRightInd w:val="0"/>
      <w:spacing w:after="0" w:line="240" w:lineRule="auto"/>
    </w:pPr>
    <w:rPr>
      <w:rFonts w:ascii="Times New Roman" w:hAnsi="Times New Roman" w:cs="Times New Roman"/>
      <w:sz w:val="24"/>
      <w:szCs w:val="24"/>
    </w:rPr>
  </w:style>
  <w:style w:type="paragraph" w:styleId="Testonotaapidipagina">
    <w:name w:val="footnote text"/>
    <w:basedOn w:val="Normale"/>
    <w:link w:val="TestonotaapidipaginaCarattere"/>
    <w:unhideWhenUsed/>
    <w:rsid w:val="000E327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0E3278"/>
    <w:rPr>
      <w:sz w:val="20"/>
      <w:szCs w:val="20"/>
    </w:rPr>
  </w:style>
  <w:style w:type="character" w:styleId="Rimandonotaapidipagina">
    <w:name w:val="footnote reference"/>
    <w:basedOn w:val="Carpredefinitoparagrafo"/>
    <w:unhideWhenUsed/>
    <w:rsid w:val="000E3278"/>
    <w:rPr>
      <w:vertAlign w:val="superscript"/>
    </w:rPr>
  </w:style>
  <w:style w:type="paragraph" w:customStyle="1" w:styleId="Default">
    <w:name w:val="Default"/>
    <w:rsid w:val="00946243"/>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
    <w:name w:val="Body Text"/>
    <w:basedOn w:val="Normale"/>
    <w:link w:val="CorpodeltestoCarattere"/>
    <w:rsid w:val="00564296"/>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rsid w:val="00564296"/>
    <w:rPr>
      <w:rFonts w:ascii="Times New Roman" w:eastAsia="Times New Roman" w:hAnsi="Times New Roman" w:cs="Times New Roman"/>
      <w:sz w:val="24"/>
      <w:szCs w:val="24"/>
    </w:rPr>
  </w:style>
  <w:style w:type="paragraph" w:styleId="Corpodeltesto2">
    <w:name w:val="Body Text 2"/>
    <w:basedOn w:val="Normale"/>
    <w:link w:val="Corpodeltesto2Carattere"/>
    <w:rsid w:val="00564296"/>
    <w:pPr>
      <w:spacing w:after="120" w:line="480" w:lineRule="auto"/>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rsid w:val="00564296"/>
    <w:rPr>
      <w:rFonts w:ascii="Times New Roman" w:eastAsia="Times New Roman" w:hAnsi="Times New Roman" w:cs="Times New Roman"/>
      <w:sz w:val="24"/>
      <w:szCs w:val="24"/>
    </w:rPr>
  </w:style>
  <w:style w:type="paragraph" w:customStyle="1" w:styleId="Rientrocorpodeltesto21">
    <w:name w:val="Rientro corpo del testo 21"/>
    <w:basedOn w:val="Normale"/>
    <w:rsid w:val="00564296"/>
    <w:pPr>
      <w:widowControl w:val="0"/>
      <w:spacing w:after="0" w:line="240" w:lineRule="auto"/>
      <w:ind w:firstLine="720"/>
      <w:jc w:val="both"/>
    </w:pPr>
    <w:rPr>
      <w:rFonts w:ascii="Arial" w:eastAsia="Times New Roman" w:hAnsi="Arial" w:cs="Times New Roman"/>
      <w:sz w:val="24"/>
      <w:szCs w:val="20"/>
    </w:rPr>
  </w:style>
  <w:style w:type="paragraph" w:styleId="Rientrocorpodeltesto2">
    <w:name w:val="Body Text Indent 2"/>
    <w:basedOn w:val="Normale"/>
    <w:link w:val="Rientrocorpodeltesto2Carattere"/>
    <w:rsid w:val="00564296"/>
    <w:pPr>
      <w:spacing w:after="120" w:line="480" w:lineRule="auto"/>
      <w:ind w:left="283"/>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rsid w:val="00564296"/>
    <w:rPr>
      <w:rFonts w:ascii="Times New Roman" w:eastAsia="Times New Roman" w:hAnsi="Times New Roman" w:cs="Times New Roman"/>
      <w:sz w:val="24"/>
      <w:szCs w:val="24"/>
    </w:rPr>
  </w:style>
  <w:style w:type="paragraph" w:styleId="Testofumetto">
    <w:name w:val="Balloon Text"/>
    <w:basedOn w:val="Normale"/>
    <w:link w:val="TestofumettoCarattere"/>
    <w:semiHidden/>
    <w:rsid w:val="00564296"/>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semiHidden/>
    <w:rsid w:val="00564296"/>
    <w:rPr>
      <w:rFonts w:ascii="Tahoma" w:eastAsia="Times New Roman" w:hAnsi="Tahoma" w:cs="Tahoma"/>
      <w:sz w:val="16"/>
      <w:szCs w:val="16"/>
    </w:rPr>
  </w:style>
  <w:style w:type="paragraph" w:styleId="Testonormale">
    <w:name w:val="Plain Text"/>
    <w:basedOn w:val="Normale"/>
    <w:link w:val="TestonormaleCarattere"/>
    <w:rsid w:val="00564296"/>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564296"/>
    <w:rPr>
      <w:rFonts w:ascii="Courier New" w:eastAsia="Times New Roman" w:hAnsi="Courier New" w:cs="Times New Roman"/>
      <w:sz w:val="20"/>
      <w:szCs w:val="20"/>
    </w:rPr>
  </w:style>
  <w:style w:type="character" w:styleId="Rimandocommento">
    <w:name w:val="annotation reference"/>
    <w:uiPriority w:val="99"/>
    <w:qFormat/>
    <w:rsid w:val="00564296"/>
    <w:rPr>
      <w:sz w:val="16"/>
      <w:szCs w:val="16"/>
    </w:rPr>
  </w:style>
  <w:style w:type="paragraph" w:styleId="Testocommento">
    <w:name w:val="annotation text"/>
    <w:basedOn w:val="Normale"/>
    <w:link w:val="TestocommentoCarattere"/>
    <w:uiPriority w:val="99"/>
    <w:qFormat/>
    <w:rsid w:val="00564296"/>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564296"/>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semiHidden/>
    <w:rsid w:val="00564296"/>
    <w:rPr>
      <w:b/>
      <w:bCs/>
    </w:rPr>
  </w:style>
  <w:style w:type="character" w:customStyle="1" w:styleId="SoggettocommentoCarattere">
    <w:name w:val="Soggetto commento Carattere"/>
    <w:basedOn w:val="TestocommentoCarattere"/>
    <w:link w:val="Soggettocommento"/>
    <w:semiHidden/>
    <w:rsid w:val="00564296"/>
    <w:rPr>
      <w:rFonts w:ascii="Times New Roman" w:eastAsia="Times New Roman" w:hAnsi="Times New Roman" w:cs="Times New Roman"/>
      <w:b/>
      <w:bCs/>
      <w:sz w:val="20"/>
      <w:szCs w:val="20"/>
    </w:rPr>
  </w:style>
  <w:style w:type="character" w:customStyle="1" w:styleId="testonero101">
    <w:name w:val="testonero101"/>
    <w:rsid w:val="00564296"/>
    <w:rPr>
      <w:rFonts w:ascii="Verdana" w:hAnsi="Verdana" w:hint="default"/>
      <w:color w:val="000000"/>
      <w:sz w:val="16"/>
      <w:szCs w:val="16"/>
    </w:rPr>
  </w:style>
  <w:style w:type="character" w:styleId="Numeropagina">
    <w:name w:val="page number"/>
    <w:basedOn w:val="Carpredefinitoparagrafo"/>
    <w:rsid w:val="00564296"/>
  </w:style>
  <w:style w:type="paragraph" w:customStyle="1" w:styleId="documento">
    <w:name w:val="documento"/>
    <w:basedOn w:val="Normale"/>
    <w:rsid w:val="00564296"/>
    <w:pPr>
      <w:spacing w:after="0" w:line="240" w:lineRule="auto"/>
      <w:jc w:val="both"/>
    </w:pPr>
    <w:rPr>
      <w:rFonts w:ascii="Arial" w:eastAsia="Times New Roman" w:hAnsi="Arial" w:cs="Arial"/>
      <w:noProof/>
      <w:color w:val="000000"/>
      <w:sz w:val="20"/>
      <w:szCs w:val="20"/>
    </w:rPr>
  </w:style>
  <w:style w:type="character" w:customStyle="1" w:styleId="CarattereCarattere2">
    <w:name w:val="Carattere Carattere2"/>
    <w:rsid w:val="00564296"/>
    <w:rPr>
      <w:sz w:val="24"/>
      <w:szCs w:val="24"/>
      <w:lang w:val="it-IT" w:eastAsia="it-IT" w:bidi="ar-SA"/>
    </w:rPr>
  </w:style>
  <w:style w:type="paragraph" w:customStyle="1" w:styleId="Paragrafoelenco1">
    <w:name w:val="Paragrafo elenco1"/>
    <w:basedOn w:val="Normale"/>
    <w:rsid w:val="00564296"/>
    <w:pPr>
      <w:spacing w:after="200" w:line="276" w:lineRule="auto"/>
      <w:ind w:left="720"/>
      <w:contextualSpacing/>
    </w:pPr>
    <w:rPr>
      <w:rFonts w:ascii="Calibri" w:eastAsia="Times New Roman" w:hAnsi="Calibri" w:cs="Times New Roman"/>
      <w:lang w:eastAsia="en-US"/>
    </w:rPr>
  </w:style>
  <w:style w:type="paragraph" w:styleId="Testonotadichiusura">
    <w:name w:val="endnote text"/>
    <w:basedOn w:val="Normale"/>
    <w:link w:val="TestonotadichiusuraCarattere"/>
    <w:rsid w:val="00564296"/>
    <w:pPr>
      <w:spacing w:after="0" w:line="240" w:lineRule="auto"/>
    </w:pPr>
    <w:rPr>
      <w:rFonts w:ascii="Times New Roman" w:eastAsia="Times New Roman" w:hAnsi="Times New Roman" w:cs="Times New Roman"/>
      <w:sz w:val="20"/>
      <w:szCs w:val="20"/>
    </w:rPr>
  </w:style>
  <w:style w:type="character" w:customStyle="1" w:styleId="TestonotadichiusuraCarattere">
    <w:name w:val="Testo nota di chiusura Carattere"/>
    <w:basedOn w:val="Carpredefinitoparagrafo"/>
    <w:link w:val="Testonotadichiusura"/>
    <w:rsid w:val="00564296"/>
    <w:rPr>
      <w:rFonts w:ascii="Times New Roman" w:eastAsia="Times New Roman" w:hAnsi="Times New Roman" w:cs="Times New Roman"/>
      <w:sz w:val="20"/>
      <w:szCs w:val="20"/>
    </w:rPr>
  </w:style>
  <w:style w:type="character" w:styleId="Rimandonotadichiusura">
    <w:name w:val="endnote reference"/>
    <w:rsid w:val="00564296"/>
    <w:rPr>
      <w:vertAlign w:val="superscript"/>
    </w:rPr>
  </w:style>
  <w:style w:type="character" w:customStyle="1" w:styleId="Menzionenonrisolta1">
    <w:name w:val="Menzione non risolta1"/>
    <w:basedOn w:val="Carpredefinitoparagrafo"/>
    <w:uiPriority w:val="99"/>
    <w:semiHidden/>
    <w:unhideWhenUsed/>
    <w:rsid w:val="00564296"/>
    <w:rPr>
      <w:color w:val="605E5C"/>
      <w:shd w:val="clear" w:color="auto" w:fill="E1DFDD"/>
    </w:rPr>
  </w:style>
  <w:style w:type="paragraph" w:styleId="Revisione">
    <w:name w:val="Revision"/>
    <w:hidden/>
    <w:uiPriority w:val="99"/>
    <w:semiHidden/>
    <w:rsid w:val="00564296"/>
    <w:pPr>
      <w:spacing w:after="0" w:line="240" w:lineRule="auto"/>
    </w:pPr>
    <w:rPr>
      <w:rFonts w:ascii="Times New Roman" w:eastAsia="Times New Roman" w:hAnsi="Times New Roman" w:cs="Times New Roman"/>
      <w:sz w:val="24"/>
      <w:szCs w:val="24"/>
    </w:rPr>
  </w:style>
  <w:style w:type="paragraph" w:customStyle="1" w:styleId="ydpa3ffbf64yiv1179053538msonormal">
    <w:name w:val="ydpa3ffbf64yiv1179053538msonormal"/>
    <w:basedOn w:val="Normale"/>
    <w:rsid w:val="00564296"/>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dpa3ffbf64yiv1179053538msolistparagraph">
    <w:name w:val="ydpa3ffbf64yiv1179053538msolistparagraph"/>
    <w:basedOn w:val="Normale"/>
    <w:rsid w:val="00564296"/>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Menzionenonrisolta2">
    <w:name w:val="Menzione non risolta2"/>
    <w:basedOn w:val="Carpredefinitoparagrafo"/>
    <w:uiPriority w:val="99"/>
    <w:semiHidden/>
    <w:unhideWhenUsed/>
    <w:rsid w:val="00564296"/>
    <w:rPr>
      <w:color w:val="605E5C"/>
      <w:shd w:val="clear" w:color="auto" w:fill="E1DFDD"/>
    </w:rPr>
  </w:style>
  <w:style w:type="paragraph" w:customStyle="1" w:styleId="Heading2">
    <w:name w:val="Heading 2"/>
    <w:basedOn w:val="Normale"/>
    <w:qFormat/>
    <w:rsid w:val="00EC1DD5"/>
    <w:pPr>
      <w:keepNext/>
      <w:spacing w:before="240" w:after="60" w:line="240" w:lineRule="auto"/>
      <w:outlineLvl w:val="1"/>
    </w:pPr>
    <w:rPr>
      <w:rFonts w:ascii="Calibri" w:eastAsia="Times New Roman" w:hAnsi="Calibri" w:cs="Times New Roman"/>
      <w:b/>
      <w:bCs/>
      <w:i/>
      <w:iCs/>
      <w:sz w:val="28"/>
      <w:szCs w:val="28"/>
    </w:rPr>
  </w:style>
  <w:style w:type="paragraph" w:customStyle="1" w:styleId="Elencoacolori-Colore11">
    <w:name w:val="Elenco a colori - Colore 11"/>
    <w:basedOn w:val="Normale"/>
    <w:qFormat/>
    <w:rsid w:val="00913086"/>
    <w:pPr>
      <w:spacing w:after="0" w:line="240" w:lineRule="auto"/>
      <w:ind w:left="720"/>
      <w:contextualSpacing/>
    </w:pPr>
    <w:rPr>
      <w:rFonts w:ascii="Times New Roman" w:eastAsia="Times New Roman" w:hAnsi="Times New Roman" w:cs="Mangal"/>
      <w:sz w:val="24"/>
      <w:szCs w:val="21"/>
    </w:rPr>
  </w:style>
  <w:style w:type="paragraph" w:customStyle="1" w:styleId="LO-normal">
    <w:name w:val="LO-normal"/>
    <w:qFormat/>
    <w:rsid w:val="00023B0C"/>
    <w:pPr>
      <w:suppressAutoHyphens/>
      <w:spacing w:after="0" w:line="240" w:lineRule="auto"/>
    </w:pPr>
    <w:rPr>
      <w:rFonts w:ascii="Times New Roman" w:eastAsia="Times New Roman" w:hAnsi="Times New Roman" w:cs="Times New Roman"/>
      <w:color w:val="000000"/>
      <w:sz w:val="20"/>
      <w:szCs w:val="20"/>
    </w:rPr>
  </w:style>
  <w:style w:type="character" w:customStyle="1" w:styleId="y2iqfc">
    <w:name w:val="y2iqfc"/>
    <w:basedOn w:val="Carpredefinitoparagrafo"/>
    <w:rsid w:val="0035261E"/>
  </w:style>
  <w:style w:type="paragraph" w:customStyle="1" w:styleId="Stile1">
    <w:name w:val="Stile1"/>
    <w:basedOn w:val="Titolo2"/>
    <w:link w:val="Stile1Carattere"/>
    <w:qFormat/>
    <w:rsid w:val="0063318A"/>
    <w:pPr>
      <w:numPr>
        <w:numId w:val="10"/>
      </w:numPr>
      <w:jc w:val="both"/>
    </w:pPr>
    <w:rPr>
      <w:rFonts w:asciiTheme="minorHAnsi" w:eastAsiaTheme="minorEastAsia" w:hAnsiTheme="minorHAnsi" w:cstheme="minorBidi"/>
      <w:color w:val="auto"/>
      <w:sz w:val="22"/>
      <w:szCs w:val="22"/>
    </w:rPr>
  </w:style>
  <w:style w:type="character" w:customStyle="1" w:styleId="Stile1Carattere">
    <w:name w:val="Stile1 Carattere"/>
    <w:basedOn w:val="Titolo2Carattere"/>
    <w:link w:val="Stile1"/>
    <w:rsid w:val="0063318A"/>
  </w:style>
</w:styles>
</file>

<file path=word/webSettings.xml><?xml version="1.0" encoding="utf-8"?>
<w:webSettings xmlns:r="http://schemas.openxmlformats.org/officeDocument/2006/relationships" xmlns:w="http://schemas.openxmlformats.org/wordprocessingml/2006/main">
  <w:divs>
    <w:div w:id="146945227">
      <w:bodyDiv w:val="1"/>
      <w:marLeft w:val="0"/>
      <w:marRight w:val="0"/>
      <w:marTop w:val="0"/>
      <w:marBottom w:val="0"/>
      <w:divBdr>
        <w:top w:val="none" w:sz="0" w:space="0" w:color="auto"/>
        <w:left w:val="none" w:sz="0" w:space="0" w:color="auto"/>
        <w:bottom w:val="none" w:sz="0" w:space="0" w:color="auto"/>
        <w:right w:val="none" w:sz="0" w:space="0" w:color="auto"/>
      </w:divBdr>
    </w:div>
    <w:div w:id="159390785">
      <w:bodyDiv w:val="1"/>
      <w:marLeft w:val="0"/>
      <w:marRight w:val="0"/>
      <w:marTop w:val="0"/>
      <w:marBottom w:val="0"/>
      <w:divBdr>
        <w:top w:val="none" w:sz="0" w:space="0" w:color="auto"/>
        <w:left w:val="none" w:sz="0" w:space="0" w:color="auto"/>
        <w:bottom w:val="none" w:sz="0" w:space="0" w:color="auto"/>
        <w:right w:val="none" w:sz="0" w:space="0" w:color="auto"/>
      </w:divBdr>
      <w:divsChild>
        <w:div w:id="646397928">
          <w:marLeft w:val="0"/>
          <w:marRight w:val="0"/>
          <w:marTop w:val="0"/>
          <w:marBottom w:val="0"/>
          <w:divBdr>
            <w:top w:val="none" w:sz="0" w:space="0" w:color="auto"/>
            <w:left w:val="none" w:sz="0" w:space="0" w:color="auto"/>
            <w:bottom w:val="none" w:sz="0" w:space="0" w:color="auto"/>
            <w:right w:val="none" w:sz="0" w:space="0" w:color="auto"/>
          </w:divBdr>
        </w:div>
        <w:div w:id="1141727127">
          <w:marLeft w:val="0"/>
          <w:marRight w:val="0"/>
          <w:marTop w:val="0"/>
          <w:marBottom w:val="0"/>
          <w:divBdr>
            <w:top w:val="none" w:sz="0" w:space="0" w:color="auto"/>
            <w:left w:val="none" w:sz="0" w:space="0" w:color="auto"/>
            <w:bottom w:val="none" w:sz="0" w:space="0" w:color="auto"/>
            <w:right w:val="none" w:sz="0" w:space="0" w:color="auto"/>
          </w:divBdr>
          <w:divsChild>
            <w:div w:id="1231498011">
              <w:marLeft w:val="0"/>
              <w:marRight w:val="0"/>
              <w:marTop w:val="0"/>
              <w:marBottom w:val="0"/>
              <w:divBdr>
                <w:top w:val="none" w:sz="0" w:space="0" w:color="auto"/>
                <w:left w:val="none" w:sz="0" w:space="0" w:color="auto"/>
                <w:bottom w:val="none" w:sz="0" w:space="0" w:color="auto"/>
                <w:right w:val="none" w:sz="0" w:space="0" w:color="auto"/>
              </w:divBdr>
              <w:divsChild>
                <w:div w:id="1395742007">
                  <w:marLeft w:val="0"/>
                  <w:marRight w:val="0"/>
                  <w:marTop w:val="0"/>
                  <w:marBottom w:val="0"/>
                  <w:divBdr>
                    <w:top w:val="none" w:sz="0" w:space="0" w:color="auto"/>
                    <w:left w:val="none" w:sz="0" w:space="0" w:color="auto"/>
                    <w:bottom w:val="none" w:sz="0" w:space="0" w:color="auto"/>
                    <w:right w:val="none" w:sz="0" w:space="0" w:color="auto"/>
                  </w:divBdr>
                  <w:divsChild>
                    <w:div w:id="783427585">
                      <w:marLeft w:val="-90"/>
                      <w:marRight w:val="-90"/>
                      <w:marTop w:val="0"/>
                      <w:marBottom w:val="0"/>
                      <w:divBdr>
                        <w:top w:val="none" w:sz="0" w:space="0" w:color="auto"/>
                        <w:left w:val="none" w:sz="0" w:space="0" w:color="auto"/>
                        <w:bottom w:val="none" w:sz="0" w:space="0" w:color="auto"/>
                        <w:right w:val="none" w:sz="0" w:space="0" w:color="auto"/>
                      </w:divBdr>
                      <w:divsChild>
                        <w:div w:id="858393171">
                          <w:marLeft w:val="0"/>
                          <w:marRight w:val="0"/>
                          <w:marTop w:val="0"/>
                          <w:marBottom w:val="0"/>
                          <w:divBdr>
                            <w:top w:val="none" w:sz="0" w:space="0" w:color="auto"/>
                            <w:left w:val="none" w:sz="0" w:space="0" w:color="auto"/>
                            <w:bottom w:val="none" w:sz="0" w:space="0" w:color="auto"/>
                            <w:right w:val="none" w:sz="0" w:space="0" w:color="auto"/>
                          </w:divBdr>
                          <w:divsChild>
                            <w:div w:id="799375050">
                              <w:marLeft w:val="0"/>
                              <w:marRight w:val="0"/>
                              <w:marTop w:val="0"/>
                              <w:marBottom w:val="0"/>
                              <w:divBdr>
                                <w:top w:val="none" w:sz="0" w:space="0" w:color="auto"/>
                                <w:left w:val="none" w:sz="0" w:space="0" w:color="auto"/>
                                <w:bottom w:val="none" w:sz="0" w:space="0" w:color="auto"/>
                                <w:right w:val="none" w:sz="0" w:space="0" w:color="auto"/>
                              </w:divBdr>
                              <w:divsChild>
                                <w:div w:id="1194658504">
                                  <w:marLeft w:val="0"/>
                                  <w:marRight w:val="0"/>
                                  <w:marTop w:val="0"/>
                                  <w:marBottom w:val="0"/>
                                  <w:divBdr>
                                    <w:top w:val="none" w:sz="0" w:space="0" w:color="auto"/>
                                    <w:left w:val="none" w:sz="0" w:space="0" w:color="auto"/>
                                    <w:bottom w:val="none" w:sz="0" w:space="0" w:color="auto"/>
                                    <w:right w:val="none" w:sz="0" w:space="0" w:color="auto"/>
                                  </w:divBdr>
                                  <w:divsChild>
                                    <w:div w:id="1570113478">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883338">
          <w:marLeft w:val="0"/>
          <w:marRight w:val="0"/>
          <w:marTop w:val="0"/>
          <w:marBottom w:val="100"/>
          <w:divBdr>
            <w:top w:val="none" w:sz="0" w:space="0" w:color="auto"/>
            <w:left w:val="none" w:sz="0" w:space="0" w:color="auto"/>
            <w:bottom w:val="none" w:sz="0" w:space="0" w:color="auto"/>
            <w:right w:val="none" w:sz="0" w:space="0" w:color="auto"/>
          </w:divBdr>
          <w:divsChild>
            <w:div w:id="899748160">
              <w:marLeft w:val="0"/>
              <w:marRight w:val="0"/>
              <w:marTop w:val="0"/>
              <w:marBottom w:val="0"/>
              <w:divBdr>
                <w:top w:val="none" w:sz="0" w:space="0" w:color="auto"/>
                <w:left w:val="none" w:sz="0" w:space="0" w:color="auto"/>
                <w:bottom w:val="none" w:sz="0" w:space="0" w:color="auto"/>
                <w:right w:val="none" w:sz="0" w:space="0" w:color="auto"/>
              </w:divBdr>
              <w:divsChild>
                <w:div w:id="159469255">
                  <w:marLeft w:val="0"/>
                  <w:marRight w:val="0"/>
                  <w:marTop w:val="0"/>
                  <w:marBottom w:val="0"/>
                  <w:divBdr>
                    <w:top w:val="none" w:sz="0" w:space="0" w:color="auto"/>
                    <w:left w:val="none" w:sz="0" w:space="0" w:color="auto"/>
                    <w:bottom w:val="none" w:sz="0" w:space="0" w:color="auto"/>
                    <w:right w:val="none" w:sz="0" w:space="0" w:color="auto"/>
                  </w:divBdr>
                  <w:divsChild>
                    <w:div w:id="1494174910">
                      <w:marLeft w:val="0"/>
                      <w:marRight w:val="0"/>
                      <w:marTop w:val="0"/>
                      <w:marBottom w:val="0"/>
                      <w:divBdr>
                        <w:top w:val="none" w:sz="0" w:space="0" w:color="auto"/>
                        <w:left w:val="none" w:sz="0" w:space="0" w:color="auto"/>
                        <w:bottom w:val="none" w:sz="0" w:space="0" w:color="auto"/>
                        <w:right w:val="none" w:sz="0" w:space="0" w:color="auto"/>
                      </w:divBdr>
                    </w:div>
                    <w:div w:id="2063553695">
                      <w:marLeft w:val="0"/>
                      <w:marRight w:val="0"/>
                      <w:marTop w:val="0"/>
                      <w:marBottom w:val="0"/>
                      <w:divBdr>
                        <w:top w:val="none" w:sz="0" w:space="0" w:color="auto"/>
                        <w:left w:val="none" w:sz="0" w:space="0" w:color="auto"/>
                        <w:bottom w:val="none" w:sz="0" w:space="0" w:color="auto"/>
                        <w:right w:val="none" w:sz="0" w:space="0" w:color="auto"/>
                      </w:divBdr>
                      <w:divsChild>
                        <w:div w:id="173540108">
                          <w:marLeft w:val="0"/>
                          <w:marRight w:val="0"/>
                          <w:marTop w:val="0"/>
                          <w:marBottom w:val="0"/>
                          <w:divBdr>
                            <w:top w:val="single" w:sz="6" w:space="0" w:color="004C9E"/>
                            <w:left w:val="single" w:sz="6" w:space="0" w:color="004C9E"/>
                            <w:bottom w:val="single" w:sz="6" w:space="0" w:color="004C9E"/>
                            <w:right w:val="single" w:sz="6" w:space="0" w:color="004C9E"/>
                          </w:divBdr>
                        </w:div>
                        <w:div w:id="863321873">
                          <w:marLeft w:val="0"/>
                          <w:marRight w:val="0"/>
                          <w:marTop w:val="0"/>
                          <w:marBottom w:val="0"/>
                          <w:divBdr>
                            <w:top w:val="single" w:sz="6" w:space="0" w:color="504D47"/>
                            <w:left w:val="single" w:sz="6" w:space="0" w:color="504D47"/>
                            <w:bottom w:val="single" w:sz="6" w:space="0" w:color="504D47"/>
                            <w:right w:val="single" w:sz="6" w:space="0" w:color="504D47"/>
                          </w:divBdr>
                        </w:div>
                      </w:divsChild>
                    </w:div>
                  </w:divsChild>
                </w:div>
              </w:divsChild>
            </w:div>
            <w:div w:id="2022118707">
              <w:marLeft w:val="0"/>
              <w:marRight w:val="0"/>
              <w:marTop w:val="240"/>
              <w:marBottom w:val="0"/>
              <w:divBdr>
                <w:top w:val="none" w:sz="0" w:space="0" w:color="auto"/>
                <w:left w:val="none" w:sz="0" w:space="0" w:color="auto"/>
                <w:bottom w:val="none" w:sz="0" w:space="0" w:color="auto"/>
                <w:right w:val="none" w:sz="0" w:space="0" w:color="auto"/>
              </w:divBdr>
              <w:divsChild>
                <w:div w:id="897519890">
                  <w:marLeft w:val="0"/>
                  <w:marRight w:val="0"/>
                  <w:marTop w:val="0"/>
                  <w:marBottom w:val="0"/>
                  <w:divBdr>
                    <w:top w:val="none" w:sz="0" w:space="0" w:color="auto"/>
                    <w:left w:val="none" w:sz="0" w:space="0" w:color="auto"/>
                    <w:bottom w:val="none" w:sz="0" w:space="0" w:color="auto"/>
                    <w:right w:val="none" w:sz="0" w:space="0" w:color="auto"/>
                  </w:divBdr>
                  <w:divsChild>
                    <w:div w:id="1123646657">
                      <w:marLeft w:val="0"/>
                      <w:marRight w:val="0"/>
                      <w:marTop w:val="0"/>
                      <w:marBottom w:val="0"/>
                      <w:divBdr>
                        <w:top w:val="none" w:sz="0" w:space="0" w:color="auto"/>
                        <w:left w:val="none" w:sz="0" w:space="0" w:color="auto"/>
                        <w:bottom w:val="none" w:sz="0" w:space="0" w:color="auto"/>
                        <w:right w:val="none" w:sz="0" w:space="0" w:color="auto"/>
                      </w:divBdr>
                      <w:divsChild>
                        <w:div w:id="9310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092298">
      <w:bodyDiv w:val="1"/>
      <w:marLeft w:val="0"/>
      <w:marRight w:val="0"/>
      <w:marTop w:val="0"/>
      <w:marBottom w:val="0"/>
      <w:divBdr>
        <w:top w:val="none" w:sz="0" w:space="0" w:color="auto"/>
        <w:left w:val="none" w:sz="0" w:space="0" w:color="auto"/>
        <w:bottom w:val="none" w:sz="0" w:space="0" w:color="auto"/>
        <w:right w:val="none" w:sz="0" w:space="0" w:color="auto"/>
      </w:divBdr>
    </w:div>
    <w:div w:id="429936209">
      <w:bodyDiv w:val="1"/>
      <w:marLeft w:val="0"/>
      <w:marRight w:val="0"/>
      <w:marTop w:val="0"/>
      <w:marBottom w:val="0"/>
      <w:divBdr>
        <w:top w:val="none" w:sz="0" w:space="0" w:color="auto"/>
        <w:left w:val="none" w:sz="0" w:space="0" w:color="auto"/>
        <w:bottom w:val="none" w:sz="0" w:space="0" w:color="auto"/>
        <w:right w:val="none" w:sz="0" w:space="0" w:color="auto"/>
      </w:divBdr>
    </w:div>
    <w:div w:id="450629454">
      <w:bodyDiv w:val="1"/>
      <w:marLeft w:val="0"/>
      <w:marRight w:val="0"/>
      <w:marTop w:val="0"/>
      <w:marBottom w:val="0"/>
      <w:divBdr>
        <w:top w:val="none" w:sz="0" w:space="0" w:color="auto"/>
        <w:left w:val="none" w:sz="0" w:space="0" w:color="auto"/>
        <w:bottom w:val="none" w:sz="0" w:space="0" w:color="auto"/>
        <w:right w:val="none" w:sz="0" w:space="0" w:color="auto"/>
      </w:divBdr>
    </w:div>
    <w:div w:id="566574663">
      <w:bodyDiv w:val="1"/>
      <w:marLeft w:val="0"/>
      <w:marRight w:val="0"/>
      <w:marTop w:val="0"/>
      <w:marBottom w:val="0"/>
      <w:divBdr>
        <w:top w:val="none" w:sz="0" w:space="0" w:color="auto"/>
        <w:left w:val="none" w:sz="0" w:space="0" w:color="auto"/>
        <w:bottom w:val="none" w:sz="0" w:space="0" w:color="auto"/>
        <w:right w:val="none" w:sz="0" w:space="0" w:color="auto"/>
      </w:divBdr>
    </w:div>
    <w:div w:id="600990897">
      <w:bodyDiv w:val="1"/>
      <w:marLeft w:val="0"/>
      <w:marRight w:val="0"/>
      <w:marTop w:val="0"/>
      <w:marBottom w:val="0"/>
      <w:divBdr>
        <w:top w:val="none" w:sz="0" w:space="0" w:color="auto"/>
        <w:left w:val="none" w:sz="0" w:space="0" w:color="auto"/>
        <w:bottom w:val="none" w:sz="0" w:space="0" w:color="auto"/>
        <w:right w:val="none" w:sz="0" w:space="0" w:color="auto"/>
      </w:divBdr>
    </w:div>
    <w:div w:id="659625826">
      <w:bodyDiv w:val="1"/>
      <w:marLeft w:val="0"/>
      <w:marRight w:val="0"/>
      <w:marTop w:val="0"/>
      <w:marBottom w:val="0"/>
      <w:divBdr>
        <w:top w:val="none" w:sz="0" w:space="0" w:color="auto"/>
        <w:left w:val="none" w:sz="0" w:space="0" w:color="auto"/>
        <w:bottom w:val="none" w:sz="0" w:space="0" w:color="auto"/>
        <w:right w:val="none" w:sz="0" w:space="0" w:color="auto"/>
      </w:divBdr>
    </w:div>
    <w:div w:id="701900371">
      <w:bodyDiv w:val="1"/>
      <w:marLeft w:val="0"/>
      <w:marRight w:val="0"/>
      <w:marTop w:val="0"/>
      <w:marBottom w:val="0"/>
      <w:divBdr>
        <w:top w:val="none" w:sz="0" w:space="0" w:color="auto"/>
        <w:left w:val="none" w:sz="0" w:space="0" w:color="auto"/>
        <w:bottom w:val="none" w:sz="0" w:space="0" w:color="auto"/>
        <w:right w:val="none" w:sz="0" w:space="0" w:color="auto"/>
      </w:divBdr>
    </w:div>
    <w:div w:id="786853895">
      <w:bodyDiv w:val="1"/>
      <w:marLeft w:val="0"/>
      <w:marRight w:val="0"/>
      <w:marTop w:val="0"/>
      <w:marBottom w:val="0"/>
      <w:divBdr>
        <w:top w:val="none" w:sz="0" w:space="0" w:color="auto"/>
        <w:left w:val="none" w:sz="0" w:space="0" w:color="auto"/>
        <w:bottom w:val="none" w:sz="0" w:space="0" w:color="auto"/>
        <w:right w:val="none" w:sz="0" w:space="0" w:color="auto"/>
      </w:divBdr>
    </w:div>
    <w:div w:id="799230265">
      <w:bodyDiv w:val="1"/>
      <w:marLeft w:val="0"/>
      <w:marRight w:val="0"/>
      <w:marTop w:val="0"/>
      <w:marBottom w:val="0"/>
      <w:divBdr>
        <w:top w:val="none" w:sz="0" w:space="0" w:color="auto"/>
        <w:left w:val="none" w:sz="0" w:space="0" w:color="auto"/>
        <w:bottom w:val="none" w:sz="0" w:space="0" w:color="auto"/>
        <w:right w:val="none" w:sz="0" w:space="0" w:color="auto"/>
      </w:divBdr>
    </w:div>
    <w:div w:id="854465471">
      <w:bodyDiv w:val="1"/>
      <w:marLeft w:val="0"/>
      <w:marRight w:val="0"/>
      <w:marTop w:val="0"/>
      <w:marBottom w:val="0"/>
      <w:divBdr>
        <w:top w:val="none" w:sz="0" w:space="0" w:color="auto"/>
        <w:left w:val="none" w:sz="0" w:space="0" w:color="auto"/>
        <w:bottom w:val="none" w:sz="0" w:space="0" w:color="auto"/>
        <w:right w:val="none" w:sz="0" w:space="0" w:color="auto"/>
      </w:divBdr>
    </w:div>
    <w:div w:id="1331132368">
      <w:bodyDiv w:val="1"/>
      <w:marLeft w:val="0"/>
      <w:marRight w:val="0"/>
      <w:marTop w:val="0"/>
      <w:marBottom w:val="0"/>
      <w:divBdr>
        <w:top w:val="none" w:sz="0" w:space="0" w:color="auto"/>
        <w:left w:val="none" w:sz="0" w:space="0" w:color="auto"/>
        <w:bottom w:val="none" w:sz="0" w:space="0" w:color="auto"/>
        <w:right w:val="none" w:sz="0" w:space="0" w:color="auto"/>
      </w:divBdr>
    </w:div>
    <w:div w:id="1518501141">
      <w:bodyDiv w:val="1"/>
      <w:marLeft w:val="0"/>
      <w:marRight w:val="0"/>
      <w:marTop w:val="0"/>
      <w:marBottom w:val="0"/>
      <w:divBdr>
        <w:top w:val="none" w:sz="0" w:space="0" w:color="auto"/>
        <w:left w:val="none" w:sz="0" w:space="0" w:color="auto"/>
        <w:bottom w:val="none" w:sz="0" w:space="0" w:color="auto"/>
        <w:right w:val="none" w:sz="0" w:space="0" w:color="auto"/>
      </w:divBdr>
    </w:div>
    <w:div w:id="1533494888">
      <w:bodyDiv w:val="1"/>
      <w:marLeft w:val="0"/>
      <w:marRight w:val="0"/>
      <w:marTop w:val="0"/>
      <w:marBottom w:val="0"/>
      <w:divBdr>
        <w:top w:val="none" w:sz="0" w:space="0" w:color="auto"/>
        <w:left w:val="none" w:sz="0" w:space="0" w:color="auto"/>
        <w:bottom w:val="none" w:sz="0" w:space="0" w:color="auto"/>
        <w:right w:val="none" w:sz="0" w:space="0" w:color="auto"/>
      </w:divBdr>
    </w:div>
    <w:div w:id="1622220696">
      <w:bodyDiv w:val="1"/>
      <w:marLeft w:val="0"/>
      <w:marRight w:val="0"/>
      <w:marTop w:val="0"/>
      <w:marBottom w:val="0"/>
      <w:divBdr>
        <w:top w:val="none" w:sz="0" w:space="0" w:color="auto"/>
        <w:left w:val="none" w:sz="0" w:space="0" w:color="auto"/>
        <w:bottom w:val="none" w:sz="0" w:space="0" w:color="auto"/>
        <w:right w:val="none" w:sz="0" w:space="0" w:color="auto"/>
      </w:divBdr>
    </w:div>
    <w:div w:id="1802115275">
      <w:bodyDiv w:val="1"/>
      <w:marLeft w:val="0"/>
      <w:marRight w:val="0"/>
      <w:marTop w:val="0"/>
      <w:marBottom w:val="0"/>
      <w:divBdr>
        <w:top w:val="none" w:sz="0" w:space="0" w:color="auto"/>
        <w:left w:val="none" w:sz="0" w:space="0" w:color="auto"/>
        <w:bottom w:val="none" w:sz="0" w:space="0" w:color="auto"/>
        <w:right w:val="none" w:sz="0" w:space="0" w:color="auto"/>
      </w:divBdr>
    </w:div>
    <w:div w:id="1856461351">
      <w:bodyDiv w:val="1"/>
      <w:marLeft w:val="0"/>
      <w:marRight w:val="0"/>
      <w:marTop w:val="0"/>
      <w:marBottom w:val="0"/>
      <w:divBdr>
        <w:top w:val="none" w:sz="0" w:space="0" w:color="auto"/>
        <w:left w:val="none" w:sz="0" w:space="0" w:color="auto"/>
        <w:bottom w:val="none" w:sz="0" w:space="0" w:color="auto"/>
        <w:right w:val="none" w:sz="0" w:space="0" w:color="auto"/>
      </w:divBdr>
    </w:div>
    <w:div w:id="2008823592">
      <w:bodyDiv w:val="1"/>
      <w:marLeft w:val="0"/>
      <w:marRight w:val="0"/>
      <w:marTop w:val="0"/>
      <w:marBottom w:val="0"/>
      <w:divBdr>
        <w:top w:val="none" w:sz="0" w:space="0" w:color="auto"/>
        <w:left w:val="none" w:sz="0" w:space="0" w:color="auto"/>
        <w:bottom w:val="none" w:sz="0" w:space="0" w:color="auto"/>
        <w:right w:val="none" w:sz="0" w:space="0" w:color="auto"/>
      </w:divBdr>
    </w:div>
    <w:div w:id="2043357251">
      <w:bodyDiv w:val="1"/>
      <w:marLeft w:val="0"/>
      <w:marRight w:val="0"/>
      <w:marTop w:val="0"/>
      <w:marBottom w:val="0"/>
      <w:divBdr>
        <w:top w:val="none" w:sz="0" w:space="0" w:color="auto"/>
        <w:left w:val="none" w:sz="0" w:space="0" w:color="auto"/>
        <w:bottom w:val="none" w:sz="0" w:space="0" w:color="auto"/>
        <w:right w:val="none" w:sz="0" w:space="0" w:color="auto"/>
      </w:divBdr>
    </w:div>
    <w:div w:id="2119642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occia">
  <a:themeElements>
    <a:clrScheme name="Blu cal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Goccia">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occia">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EC35F3-1A6C-4AED-B8F0-CB6173F9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3280</Words>
  <Characters>18697</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Allegato C – Accordo di Finanziamento 
Schema DESCRIZIONE DELLO STRUMENTO “Fondo Garanzia Mutualistica 2021-2027”</vt:lpstr>
    </vt:vector>
  </TitlesOfParts>
  <Company>HP</Company>
  <LinksUpToDate>false</LinksUpToDate>
  <CharactersWithSpaces>21934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 – Accordo di Finanziamento 
Schema DESCRIZIONE DELLO STRUMENTO “Fondo Garanzia Mutualistica 2021-2027”</dc:title>
  <dc:creator>128217</dc:creator>
  <cp:lastModifiedBy>Leopoldo Monteduro</cp:lastModifiedBy>
  <cp:revision>2</cp:revision>
  <cp:lastPrinted>2023-03-08T08:22:00Z</cp:lastPrinted>
  <dcterms:created xsi:type="dcterms:W3CDTF">2024-01-22T13:00:00Z</dcterms:created>
  <dcterms:modified xsi:type="dcterms:W3CDTF">2024-01-22T13:00:00Z</dcterms:modified>
</cp:coreProperties>
</file>